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6"/>
        <w:gridCol w:w="2670"/>
        <w:gridCol w:w="1692"/>
        <w:gridCol w:w="1552"/>
        <w:gridCol w:w="1970"/>
      </w:tblGrid>
      <w:tr w:rsidR="00AF04FB" w:rsidRPr="00430FA8">
        <w:tc>
          <w:tcPr>
            <w:tcW w:w="1134" w:type="dxa"/>
          </w:tcPr>
          <w:p w:rsidR="00AF04FB" w:rsidRPr="00430FA8" w:rsidRDefault="00AF04FB" w:rsidP="00701E12">
            <w:pPr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Edição</w:t>
            </w:r>
          </w:p>
        </w:tc>
        <w:tc>
          <w:tcPr>
            <w:tcW w:w="2694" w:type="dxa"/>
          </w:tcPr>
          <w:p w:rsidR="00AF04FB" w:rsidRPr="00430FA8" w:rsidRDefault="00AF04FB" w:rsidP="00701E12">
            <w:pPr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Alteração</w:t>
            </w:r>
          </w:p>
        </w:tc>
        <w:tc>
          <w:tcPr>
            <w:tcW w:w="1701" w:type="dxa"/>
          </w:tcPr>
          <w:p w:rsidR="00AF04FB" w:rsidRPr="00430FA8" w:rsidRDefault="00AF04FB" w:rsidP="00701E12">
            <w:pPr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Elaborado</w:t>
            </w:r>
          </w:p>
        </w:tc>
        <w:tc>
          <w:tcPr>
            <w:tcW w:w="1559" w:type="dxa"/>
          </w:tcPr>
          <w:p w:rsidR="00AF04FB" w:rsidRPr="00430FA8" w:rsidRDefault="00AF04FB" w:rsidP="00701E12">
            <w:pPr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Verificado</w:t>
            </w:r>
          </w:p>
        </w:tc>
        <w:tc>
          <w:tcPr>
            <w:tcW w:w="1984" w:type="dxa"/>
          </w:tcPr>
          <w:p w:rsidR="00AF04FB" w:rsidRPr="00430FA8" w:rsidRDefault="00AF04FB" w:rsidP="00701E12">
            <w:pPr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Aprovado</w:t>
            </w:r>
          </w:p>
        </w:tc>
      </w:tr>
      <w:tr w:rsidR="00AF04FB" w:rsidRPr="00430FA8">
        <w:tc>
          <w:tcPr>
            <w:tcW w:w="1134" w:type="dxa"/>
          </w:tcPr>
          <w:p w:rsidR="00AF04FB" w:rsidRPr="00430FA8" w:rsidRDefault="00EB015A" w:rsidP="00AC212F">
            <w:pPr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ABRIL</w:t>
            </w:r>
            <w:r w:rsidR="00B95ACE">
              <w:rPr>
                <w:rFonts w:cs="Arial"/>
                <w:i w:val="0"/>
              </w:rPr>
              <w:t>/201</w:t>
            </w:r>
            <w:r w:rsidR="005224CC">
              <w:rPr>
                <w:rFonts w:cs="Arial"/>
                <w:i w:val="0"/>
              </w:rPr>
              <w:t>6</w:t>
            </w:r>
          </w:p>
        </w:tc>
        <w:tc>
          <w:tcPr>
            <w:tcW w:w="2694" w:type="dxa"/>
          </w:tcPr>
          <w:p w:rsidR="00AF04FB" w:rsidRPr="00430FA8" w:rsidRDefault="00EB015A" w:rsidP="009E229E">
            <w:pPr>
              <w:pStyle w:val="Cabealho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Terceira</w:t>
            </w:r>
            <w:r w:rsidR="00B95ACE">
              <w:rPr>
                <w:rFonts w:cs="Arial"/>
                <w:i w:val="0"/>
              </w:rPr>
              <w:t xml:space="preserve"> </w:t>
            </w:r>
            <w:r w:rsidR="00AF04FB" w:rsidRPr="00430FA8">
              <w:rPr>
                <w:rFonts w:cs="Arial"/>
                <w:i w:val="0"/>
              </w:rPr>
              <w:t>emissão</w:t>
            </w:r>
          </w:p>
        </w:tc>
        <w:tc>
          <w:tcPr>
            <w:tcW w:w="1701" w:type="dxa"/>
          </w:tcPr>
          <w:p w:rsidR="00AF04FB" w:rsidRPr="00430FA8" w:rsidRDefault="00C7032E" w:rsidP="00BC1FCF">
            <w:pPr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Celso.cgo</w:t>
            </w:r>
          </w:p>
        </w:tc>
        <w:tc>
          <w:tcPr>
            <w:tcW w:w="1559" w:type="dxa"/>
          </w:tcPr>
          <w:p w:rsidR="00AF04FB" w:rsidRPr="00430FA8" w:rsidRDefault="00AF04FB" w:rsidP="00701E12">
            <w:pPr>
              <w:rPr>
                <w:rFonts w:cs="Arial"/>
                <w:i w:val="0"/>
              </w:rPr>
            </w:pPr>
          </w:p>
        </w:tc>
        <w:tc>
          <w:tcPr>
            <w:tcW w:w="1984" w:type="dxa"/>
          </w:tcPr>
          <w:p w:rsidR="00AF04FB" w:rsidRPr="00430FA8" w:rsidRDefault="00AF04FB" w:rsidP="00701E12">
            <w:pPr>
              <w:rPr>
                <w:rFonts w:cs="Arial"/>
                <w:i w:val="0"/>
              </w:rPr>
            </w:pPr>
          </w:p>
        </w:tc>
      </w:tr>
    </w:tbl>
    <w:p w:rsidR="006073D8" w:rsidRPr="00430FA8" w:rsidRDefault="006073D8">
      <w:pPr>
        <w:widowControl w:val="0"/>
        <w:pBdr>
          <w:bottom w:val="single" w:sz="6" w:space="1" w:color="auto"/>
        </w:pBdr>
        <w:tabs>
          <w:tab w:val="num" w:pos="732"/>
        </w:tabs>
        <w:ind w:left="732" w:hanging="732"/>
        <w:jc w:val="both"/>
        <w:rPr>
          <w:b/>
          <w:i w:val="0"/>
        </w:rPr>
      </w:pPr>
    </w:p>
    <w:p w:rsidR="006073D8" w:rsidRPr="00430FA8" w:rsidRDefault="006837F8" w:rsidP="00D11108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 w:rsidRPr="00430FA8">
        <w:rPr>
          <w:b/>
          <w:i w:val="0"/>
          <w:sz w:val="32"/>
          <w:szCs w:val="32"/>
        </w:rPr>
        <w:t>1</w:t>
      </w:r>
      <w:r w:rsidRPr="00430FA8">
        <w:rPr>
          <w:b/>
          <w:i w:val="0"/>
          <w:sz w:val="32"/>
          <w:szCs w:val="32"/>
        </w:rPr>
        <w:tab/>
      </w:r>
      <w:r w:rsidR="006073D8" w:rsidRPr="00430FA8">
        <w:rPr>
          <w:b/>
          <w:i w:val="0"/>
          <w:sz w:val="32"/>
          <w:szCs w:val="32"/>
        </w:rPr>
        <w:t>Objetivo</w:t>
      </w:r>
    </w:p>
    <w:p w:rsidR="006073D8" w:rsidRPr="00430FA8" w:rsidRDefault="00FA6586" w:rsidP="00FA6586">
      <w:pPr>
        <w:widowControl w:val="0"/>
        <w:tabs>
          <w:tab w:val="left" w:pos="6763"/>
        </w:tabs>
        <w:ind w:left="851" w:hanging="851"/>
        <w:jc w:val="both"/>
        <w:rPr>
          <w:i w:val="0"/>
          <w:sz w:val="24"/>
          <w:szCs w:val="24"/>
        </w:rPr>
      </w:pPr>
      <w:r w:rsidRPr="00430FA8">
        <w:rPr>
          <w:i w:val="0"/>
          <w:sz w:val="24"/>
          <w:szCs w:val="24"/>
        </w:rPr>
        <w:tab/>
      </w:r>
      <w:r w:rsidRPr="00430FA8">
        <w:rPr>
          <w:i w:val="0"/>
          <w:sz w:val="24"/>
          <w:szCs w:val="24"/>
        </w:rPr>
        <w:tab/>
      </w:r>
    </w:p>
    <w:p w:rsidR="00983160" w:rsidRDefault="00381219" w:rsidP="00D11108">
      <w:pPr>
        <w:widowControl w:val="0"/>
        <w:ind w:firstLine="851"/>
        <w:jc w:val="both"/>
        <w:rPr>
          <w:rFonts w:cs="Arial"/>
          <w:i w:val="0"/>
        </w:rPr>
      </w:pPr>
      <w:r>
        <w:rPr>
          <w:rFonts w:cs="Arial"/>
          <w:i w:val="0"/>
        </w:rPr>
        <w:t xml:space="preserve">O objetivo deste caderno é expor o método de cálculo da planilha orçamentária e do BDI </w:t>
      </w:r>
      <w:r w:rsidR="00EB015A">
        <w:rPr>
          <w:rFonts w:cs="Arial"/>
          <w:i w:val="0"/>
        </w:rPr>
        <w:t>serviço ou obra em questão.</w:t>
      </w:r>
    </w:p>
    <w:p w:rsidR="00381219" w:rsidRPr="00983160" w:rsidRDefault="00381219" w:rsidP="00D11108">
      <w:pPr>
        <w:widowControl w:val="0"/>
        <w:ind w:firstLine="851"/>
        <w:jc w:val="both"/>
        <w:rPr>
          <w:rFonts w:cs="Arial"/>
          <w:i w:val="0"/>
        </w:rPr>
      </w:pPr>
      <w:r>
        <w:rPr>
          <w:rFonts w:cs="Arial"/>
          <w:i w:val="0"/>
        </w:rPr>
        <w:t>Neste caderno encontram-se justificativas para a adoção do orçamento para a realização do mencionado projeto.</w:t>
      </w:r>
    </w:p>
    <w:p w:rsidR="006815CE" w:rsidRDefault="006815CE">
      <w:pPr>
        <w:widowControl w:val="0"/>
        <w:pBdr>
          <w:bottom w:val="single" w:sz="6" w:space="1" w:color="auto"/>
        </w:pBdr>
        <w:tabs>
          <w:tab w:val="num" w:pos="732"/>
        </w:tabs>
        <w:ind w:left="732" w:hanging="732"/>
        <w:jc w:val="both"/>
        <w:rPr>
          <w:b/>
          <w:i w:val="0"/>
        </w:rPr>
      </w:pPr>
      <w:bookmarkStart w:id="0" w:name="_GoBack"/>
      <w:bookmarkEnd w:id="0"/>
    </w:p>
    <w:p w:rsidR="00983160" w:rsidRPr="00430FA8" w:rsidRDefault="00983160">
      <w:pPr>
        <w:widowControl w:val="0"/>
        <w:pBdr>
          <w:bottom w:val="single" w:sz="6" w:space="1" w:color="auto"/>
        </w:pBdr>
        <w:tabs>
          <w:tab w:val="num" w:pos="732"/>
        </w:tabs>
        <w:ind w:left="732" w:hanging="732"/>
        <w:jc w:val="both"/>
        <w:rPr>
          <w:b/>
          <w:i w:val="0"/>
        </w:rPr>
      </w:pPr>
    </w:p>
    <w:p w:rsidR="00FC4D45" w:rsidRPr="00430FA8" w:rsidRDefault="006837F8" w:rsidP="00D11108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 w:rsidRPr="00430FA8">
        <w:rPr>
          <w:b/>
          <w:i w:val="0"/>
          <w:sz w:val="32"/>
          <w:szCs w:val="32"/>
        </w:rPr>
        <w:t>2</w:t>
      </w:r>
      <w:r w:rsidRPr="00430FA8">
        <w:rPr>
          <w:b/>
          <w:i w:val="0"/>
          <w:sz w:val="32"/>
          <w:szCs w:val="32"/>
        </w:rPr>
        <w:tab/>
      </w:r>
      <w:r w:rsidR="00FC4D45" w:rsidRPr="00430FA8">
        <w:rPr>
          <w:b/>
          <w:i w:val="0"/>
          <w:sz w:val="32"/>
          <w:szCs w:val="32"/>
        </w:rPr>
        <w:t>Definições</w:t>
      </w:r>
    </w:p>
    <w:p w:rsidR="00FC4D45" w:rsidRPr="00430FA8" w:rsidRDefault="00FC4D45">
      <w:pPr>
        <w:widowControl w:val="0"/>
        <w:ind w:left="851" w:hanging="851"/>
        <w:jc w:val="both"/>
        <w:rPr>
          <w:i w:val="0"/>
          <w:sz w:val="24"/>
          <w:szCs w:val="24"/>
        </w:rPr>
      </w:pPr>
    </w:p>
    <w:p w:rsidR="00FC4D45" w:rsidRPr="00430FA8" w:rsidRDefault="006837F8">
      <w:pPr>
        <w:widowControl w:val="0"/>
        <w:ind w:left="851" w:hanging="851"/>
        <w:jc w:val="both"/>
        <w:rPr>
          <w:b/>
          <w:i w:val="0"/>
          <w:sz w:val="24"/>
        </w:rPr>
      </w:pPr>
      <w:r w:rsidRPr="00430FA8">
        <w:rPr>
          <w:b/>
          <w:i w:val="0"/>
          <w:sz w:val="24"/>
        </w:rPr>
        <w:t>2</w:t>
      </w:r>
      <w:r w:rsidR="00FC4D45" w:rsidRPr="00430FA8">
        <w:rPr>
          <w:b/>
          <w:i w:val="0"/>
          <w:sz w:val="24"/>
        </w:rPr>
        <w:t>.1</w:t>
      </w:r>
      <w:r w:rsidR="00FC4D45" w:rsidRPr="00430FA8">
        <w:rPr>
          <w:b/>
          <w:i w:val="0"/>
          <w:sz w:val="24"/>
        </w:rPr>
        <w:tab/>
      </w:r>
      <w:r w:rsidR="004129BE">
        <w:rPr>
          <w:b/>
          <w:i w:val="0"/>
          <w:sz w:val="24"/>
        </w:rPr>
        <w:t>Bonificação e Despesas indiretas - BDI</w:t>
      </w:r>
    </w:p>
    <w:p w:rsidR="00FC4D45" w:rsidRPr="00430FA8" w:rsidRDefault="00FC4D45">
      <w:pPr>
        <w:widowControl w:val="0"/>
        <w:ind w:left="851" w:hanging="851"/>
        <w:jc w:val="both"/>
        <w:rPr>
          <w:i w:val="0"/>
        </w:rPr>
      </w:pPr>
    </w:p>
    <w:p w:rsidR="00FC4D45" w:rsidRPr="00430FA8" w:rsidRDefault="00FC4D45" w:rsidP="002309A2">
      <w:pPr>
        <w:widowControl w:val="0"/>
        <w:tabs>
          <w:tab w:val="left" w:pos="851"/>
        </w:tabs>
        <w:jc w:val="both"/>
        <w:rPr>
          <w:i w:val="0"/>
        </w:rPr>
      </w:pPr>
      <w:r w:rsidRPr="00430FA8">
        <w:rPr>
          <w:i w:val="0"/>
        </w:rPr>
        <w:tab/>
      </w:r>
      <w:r w:rsidR="004129BE">
        <w:rPr>
          <w:i w:val="0"/>
        </w:rPr>
        <w:t>O BDI é um valor percentual que é considerado para suprir as despesas indiretas e do lucro da empresa. Está incluso neste valor: os gastos com a administração central, as despesas financeiras, o valor dos seguros, riscos e garantias, as bonificações, honorários ou lucros percebidos pela contratada e os tributos pagos ao Estado.</w:t>
      </w:r>
    </w:p>
    <w:p w:rsidR="00FC4D45" w:rsidRPr="00430FA8" w:rsidRDefault="00FC4D45">
      <w:pPr>
        <w:widowControl w:val="0"/>
        <w:ind w:left="851" w:hanging="851"/>
        <w:jc w:val="both"/>
        <w:rPr>
          <w:i w:val="0"/>
        </w:rPr>
      </w:pPr>
    </w:p>
    <w:p w:rsidR="00FC4D45" w:rsidRPr="00430FA8" w:rsidRDefault="006837F8">
      <w:pPr>
        <w:widowControl w:val="0"/>
        <w:ind w:left="851" w:hanging="851"/>
        <w:jc w:val="both"/>
        <w:rPr>
          <w:b/>
          <w:i w:val="0"/>
          <w:sz w:val="24"/>
        </w:rPr>
      </w:pPr>
      <w:r w:rsidRPr="00430FA8">
        <w:rPr>
          <w:b/>
          <w:i w:val="0"/>
          <w:sz w:val="24"/>
        </w:rPr>
        <w:t>2</w:t>
      </w:r>
      <w:r w:rsidR="00FC4D45" w:rsidRPr="00430FA8">
        <w:rPr>
          <w:b/>
          <w:i w:val="0"/>
          <w:sz w:val="24"/>
        </w:rPr>
        <w:t>.2</w:t>
      </w:r>
      <w:r w:rsidR="00FC4D45" w:rsidRPr="00430FA8">
        <w:rPr>
          <w:b/>
          <w:i w:val="0"/>
          <w:sz w:val="24"/>
        </w:rPr>
        <w:tab/>
      </w:r>
      <w:r w:rsidR="004129BE">
        <w:rPr>
          <w:b/>
          <w:i w:val="0"/>
          <w:sz w:val="24"/>
        </w:rPr>
        <w:t>Método da CEF</w:t>
      </w:r>
    </w:p>
    <w:p w:rsidR="00FC4D45" w:rsidRPr="00430FA8" w:rsidRDefault="00FC4D45">
      <w:pPr>
        <w:widowControl w:val="0"/>
        <w:ind w:left="851" w:hanging="851"/>
        <w:jc w:val="both"/>
        <w:rPr>
          <w:i w:val="0"/>
        </w:rPr>
      </w:pPr>
    </w:p>
    <w:p w:rsidR="00FC4D45" w:rsidRPr="00430FA8" w:rsidRDefault="00FC4D45" w:rsidP="002309A2">
      <w:pPr>
        <w:widowControl w:val="0"/>
        <w:tabs>
          <w:tab w:val="left" w:pos="851"/>
        </w:tabs>
        <w:jc w:val="both"/>
        <w:rPr>
          <w:i w:val="0"/>
        </w:rPr>
      </w:pPr>
      <w:r w:rsidRPr="00430FA8">
        <w:rPr>
          <w:i w:val="0"/>
        </w:rPr>
        <w:tab/>
      </w:r>
      <w:r w:rsidR="004129BE">
        <w:rPr>
          <w:i w:val="0"/>
        </w:rPr>
        <w:t>O método da Caixa Econômica Federal –CEF é um cálculo orçamentário muito utilizado</w:t>
      </w:r>
      <w:r w:rsidR="00A25C42">
        <w:rPr>
          <w:i w:val="0"/>
        </w:rPr>
        <w:t xml:space="preserve"> para se avaliar os custos referentes a realizações de projetos de edificações. Este método leva em consideração o Índice de Remuneração, o valor do CUB SINDISCON do estado e a área efetiva da construção.</w:t>
      </w:r>
    </w:p>
    <w:p w:rsidR="00FC4D45" w:rsidRPr="00430FA8" w:rsidRDefault="00FC4D45">
      <w:pPr>
        <w:widowControl w:val="0"/>
        <w:ind w:left="851" w:hanging="851"/>
        <w:jc w:val="both"/>
        <w:rPr>
          <w:i w:val="0"/>
        </w:rPr>
      </w:pPr>
    </w:p>
    <w:p w:rsidR="00FC4D45" w:rsidRPr="00430FA8" w:rsidRDefault="006837F8">
      <w:pPr>
        <w:widowControl w:val="0"/>
        <w:ind w:left="851" w:hanging="851"/>
        <w:jc w:val="both"/>
        <w:rPr>
          <w:b/>
          <w:i w:val="0"/>
          <w:sz w:val="24"/>
        </w:rPr>
      </w:pPr>
      <w:r w:rsidRPr="00430FA8">
        <w:rPr>
          <w:b/>
          <w:i w:val="0"/>
          <w:sz w:val="24"/>
        </w:rPr>
        <w:t>2</w:t>
      </w:r>
      <w:r w:rsidR="00FC4D45" w:rsidRPr="00430FA8">
        <w:rPr>
          <w:b/>
          <w:i w:val="0"/>
          <w:sz w:val="24"/>
        </w:rPr>
        <w:t>.3</w:t>
      </w:r>
      <w:r w:rsidR="00FC4D45" w:rsidRPr="00430FA8">
        <w:rPr>
          <w:b/>
          <w:i w:val="0"/>
          <w:sz w:val="24"/>
        </w:rPr>
        <w:tab/>
      </w:r>
      <w:r w:rsidR="00A25C42">
        <w:rPr>
          <w:b/>
          <w:i w:val="0"/>
          <w:sz w:val="24"/>
        </w:rPr>
        <w:t>Área Efetiva</w:t>
      </w:r>
    </w:p>
    <w:p w:rsidR="00FC4D45" w:rsidRPr="00430FA8" w:rsidRDefault="00FC4D45">
      <w:pPr>
        <w:widowControl w:val="0"/>
        <w:ind w:left="851" w:hanging="851"/>
        <w:jc w:val="both"/>
        <w:rPr>
          <w:i w:val="0"/>
        </w:rPr>
      </w:pPr>
    </w:p>
    <w:p w:rsidR="00FC4D45" w:rsidRPr="00430FA8" w:rsidRDefault="00FC4D45" w:rsidP="002A0FAA">
      <w:pPr>
        <w:widowControl w:val="0"/>
        <w:tabs>
          <w:tab w:val="left" w:pos="851"/>
        </w:tabs>
        <w:jc w:val="both"/>
        <w:rPr>
          <w:i w:val="0"/>
        </w:rPr>
      </w:pPr>
      <w:r w:rsidRPr="00430FA8">
        <w:rPr>
          <w:i w:val="0"/>
        </w:rPr>
        <w:tab/>
      </w:r>
      <w:r w:rsidR="00A25C42">
        <w:rPr>
          <w:i w:val="0"/>
        </w:rPr>
        <w:t>A área efetiva corresponde a uma valor correspondente ao da área real do projeto. Este conceito vem do fato de que quanto maior o tamanho do projeto, menor os custos por metro quadrado do mesmo, considerando idênticos graus de complexidade associados ao mesmo.</w:t>
      </w:r>
      <w:r w:rsidR="002A0FAA">
        <w:rPr>
          <w:i w:val="0"/>
        </w:rPr>
        <w:t xml:space="preserve"> Esta variável possui valor igual ou inferior ao da área da construção a ser projetada.</w:t>
      </w:r>
      <w:r w:rsidR="001555A7">
        <w:rPr>
          <w:i w:val="0"/>
        </w:rPr>
        <w:t xml:space="preserve"> O método de cálculo desta área seguiu as diretrizes sugeridas pela Caixa Econômica Federal.</w:t>
      </w:r>
    </w:p>
    <w:p w:rsidR="0077551E" w:rsidRPr="00430FA8" w:rsidRDefault="0077551E">
      <w:pPr>
        <w:widowControl w:val="0"/>
        <w:ind w:left="851" w:hanging="851"/>
        <w:jc w:val="both"/>
        <w:rPr>
          <w:i w:val="0"/>
        </w:rPr>
      </w:pPr>
    </w:p>
    <w:p w:rsidR="00FC4D45" w:rsidRPr="00430FA8" w:rsidRDefault="006837F8">
      <w:pPr>
        <w:widowControl w:val="0"/>
        <w:ind w:left="851" w:hanging="851"/>
        <w:jc w:val="both"/>
        <w:rPr>
          <w:b/>
          <w:i w:val="0"/>
          <w:sz w:val="24"/>
        </w:rPr>
      </w:pPr>
      <w:r w:rsidRPr="00430FA8">
        <w:rPr>
          <w:b/>
          <w:i w:val="0"/>
          <w:sz w:val="24"/>
        </w:rPr>
        <w:t>2</w:t>
      </w:r>
      <w:r w:rsidR="00FC4D45" w:rsidRPr="00430FA8">
        <w:rPr>
          <w:b/>
          <w:i w:val="0"/>
          <w:sz w:val="24"/>
        </w:rPr>
        <w:t>.4</w:t>
      </w:r>
      <w:r w:rsidR="00FC4D45" w:rsidRPr="00430FA8">
        <w:rPr>
          <w:b/>
          <w:i w:val="0"/>
          <w:sz w:val="24"/>
        </w:rPr>
        <w:tab/>
      </w:r>
      <w:r w:rsidR="00EA0DB6">
        <w:rPr>
          <w:b/>
          <w:i w:val="0"/>
          <w:sz w:val="24"/>
        </w:rPr>
        <w:t>CUB SINDISCON</w:t>
      </w:r>
    </w:p>
    <w:p w:rsidR="00FC4D45" w:rsidRPr="00430FA8" w:rsidRDefault="00FC4D45" w:rsidP="00BC786C">
      <w:pPr>
        <w:widowControl w:val="0"/>
        <w:ind w:left="851" w:hanging="851"/>
        <w:jc w:val="both"/>
        <w:rPr>
          <w:i w:val="0"/>
        </w:rPr>
      </w:pPr>
    </w:p>
    <w:p w:rsidR="00FC4D45" w:rsidRDefault="00FC4D45" w:rsidP="00EA0DB6">
      <w:pPr>
        <w:widowControl w:val="0"/>
        <w:tabs>
          <w:tab w:val="left" w:pos="851"/>
        </w:tabs>
        <w:jc w:val="both"/>
        <w:rPr>
          <w:i w:val="0"/>
        </w:rPr>
      </w:pPr>
      <w:r w:rsidRPr="00430FA8">
        <w:rPr>
          <w:i w:val="0"/>
        </w:rPr>
        <w:tab/>
      </w:r>
      <w:r w:rsidR="00DC6B28">
        <w:rPr>
          <w:i w:val="0"/>
        </w:rPr>
        <w:t xml:space="preserve">O Custo Unitário Básico –CUB corresponde </w:t>
      </w:r>
      <w:r w:rsidR="00CE4E79">
        <w:rPr>
          <w:i w:val="0"/>
        </w:rPr>
        <w:t xml:space="preserve">a dados oficiais alterados por lei para estimativa de gastos por metro quadrados na construção de edificações. O padrão utilizado foi o </w:t>
      </w:r>
      <w:r w:rsidR="00CE4E79" w:rsidRPr="00EB015A">
        <w:rPr>
          <w:i w:val="0"/>
          <w:highlight w:val="yellow"/>
        </w:rPr>
        <w:t>Comercial Salas e Lojas</w:t>
      </w:r>
      <w:r w:rsidR="00B95ACE" w:rsidRPr="00EB015A">
        <w:rPr>
          <w:i w:val="0"/>
          <w:highlight w:val="yellow"/>
        </w:rPr>
        <w:t xml:space="preserve"> para grandes áreas construídas</w:t>
      </w:r>
      <w:r w:rsidR="00CE4E79" w:rsidRPr="00EB015A">
        <w:rPr>
          <w:i w:val="0"/>
          <w:highlight w:val="yellow"/>
        </w:rPr>
        <w:t xml:space="preserve"> –CLS</w:t>
      </w:r>
      <w:r w:rsidR="00B95ACE" w:rsidRPr="00EB015A">
        <w:rPr>
          <w:i w:val="0"/>
          <w:highlight w:val="yellow"/>
        </w:rPr>
        <w:t>-16</w:t>
      </w:r>
      <w:r w:rsidR="00CE4E79">
        <w:rPr>
          <w:i w:val="0"/>
        </w:rPr>
        <w:t>.</w:t>
      </w:r>
      <w:r w:rsidR="001555A7">
        <w:rPr>
          <w:i w:val="0"/>
        </w:rPr>
        <w:t xml:space="preserve"> Os valores mensais do CUB SINDISCON são encontrados no site: “cub.org.br”.</w:t>
      </w:r>
    </w:p>
    <w:p w:rsidR="00DC6B28" w:rsidRDefault="005224CC" w:rsidP="00EA0DB6">
      <w:pPr>
        <w:widowControl w:val="0"/>
        <w:tabs>
          <w:tab w:val="left" w:pos="851"/>
        </w:tabs>
        <w:jc w:val="both"/>
        <w:rPr>
          <w:i w:val="0"/>
        </w:rPr>
      </w:pPr>
      <w:r>
        <w:rPr>
          <w:noProof/>
        </w:rPr>
        <w:lastRenderedPageBreak/>
        <w:drawing>
          <wp:inline distT="0" distB="0" distL="0" distR="0" wp14:anchorId="104767DB" wp14:editId="23279E68">
            <wp:extent cx="5760720" cy="6452870"/>
            <wp:effectExtent l="0" t="0" r="0" b="0"/>
            <wp:docPr id="1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5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3160" w:rsidRDefault="00983160" w:rsidP="00983160">
      <w:pPr>
        <w:pStyle w:val="PargrafodaLista"/>
        <w:rPr>
          <w:i w:val="0"/>
        </w:rPr>
      </w:pPr>
    </w:p>
    <w:p w:rsidR="00983160" w:rsidRPr="00430FA8" w:rsidRDefault="00983160" w:rsidP="00983160">
      <w:pPr>
        <w:widowControl w:val="0"/>
        <w:tabs>
          <w:tab w:val="left" w:pos="1134"/>
        </w:tabs>
        <w:ind w:left="851"/>
        <w:jc w:val="both"/>
        <w:rPr>
          <w:i w:val="0"/>
        </w:rPr>
      </w:pPr>
    </w:p>
    <w:p w:rsidR="00F87CD3" w:rsidRPr="00430FA8" w:rsidRDefault="001864E3" w:rsidP="001864E3">
      <w:pPr>
        <w:ind w:left="851" w:hanging="851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2.5</w:t>
      </w:r>
      <w:r w:rsidR="00F87CD3" w:rsidRPr="00430FA8">
        <w:rPr>
          <w:rFonts w:cs="Arial"/>
          <w:b/>
          <w:i w:val="0"/>
          <w:sz w:val="24"/>
          <w:szCs w:val="24"/>
        </w:rPr>
        <w:tab/>
      </w:r>
      <w:r w:rsidR="00CE4E79">
        <w:rPr>
          <w:rFonts w:cs="Arial"/>
          <w:b/>
          <w:i w:val="0"/>
          <w:sz w:val="24"/>
          <w:szCs w:val="24"/>
        </w:rPr>
        <w:t>CUB_C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CE4E79" w:rsidP="001864E3">
      <w:pPr>
        <w:ind w:firstLine="851"/>
        <w:jc w:val="both"/>
        <w:rPr>
          <w:rFonts w:cs="Arial"/>
          <w:i w:val="0"/>
        </w:rPr>
      </w:pPr>
      <w:r>
        <w:rPr>
          <w:rFonts w:cs="Arial"/>
          <w:i w:val="0"/>
        </w:rPr>
        <w:t xml:space="preserve">O CUB da </w:t>
      </w:r>
      <w:r w:rsidR="001555A7">
        <w:rPr>
          <w:rFonts w:cs="Arial"/>
          <w:i w:val="0"/>
        </w:rPr>
        <w:t>CAIXA</w:t>
      </w:r>
      <w:r>
        <w:rPr>
          <w:rFonts w:cs="Arial"/>
          <w:i w:val="0"/>
        </w:rPr>
        <w:t xml:space="preserve"> (CUB_C) é o valor do CUB divulgado pelo SINDISCON multiplicado por uma unidade e sete dé</w:t>
      </w:r>
      <w:r w:rsidR="00D4108D">
        <w:rPr>
          <w:rFonts w:cs="Arial"/>
          <w:i w:val="0"/>
        </w:rPr>
        <w:t>cimos (1,7).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D4108D" w:rsidRPr="00430FA8" w:rsidRDefault="001864E3" w:rsidP="001864E3">
      <w:pPr>
        <w:tabs>
          <w:tab w:val="left" w:pos="851"/>
        </w:tabs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lastRenderedPageBreak/>
        <w:t>2.6</w:t>
      </w:r>
      <w:r w:rsidRPr="00430FA8">
        <w:rPr>
          <w:rFonts w:cs="Arial"/>
          <w:b/>
          <w:i w:val="0"/>
          <w:sz w:val="24"/>
          <w:szCs w:val="24"/>
        </w:rPr>
        <w:tab/>
      </w:r>
      <w:r w:rsidR="00D4108D">
        <w:rPr>
          <w:rFonts w:cs="Arial"/>
          <w:b/>
          <w:i w:val="0"/>
          <w:sz w:val="24"/>
          <w:szCs w:val="24"/>
        </w:rPr>
        <w:t>CUB DEOB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D4108D" w:rsidP="001864E3">
      <w:pPr>
        <w:ind w:firstLine="851"/>
        <w:jc w:val="both"/>
        <w:rPr>
          <w:rFonts w:cs="Arial"/>
          <w:i w:val="0"/>
        </w:rPr>
      </w:pPr>
      <w:r>
        <w:rPr>
          <w:rFonts w:cs="Arial"/>
          <w:i w:val="0"/>
        </w:rPr>
        <w:t>O CUB do DEOB é semelhante ao da caixa, mudando-se o fator multiplicativo para uma unidade a cinco décimos (1,5).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1864E3" w:rsidP="001864E3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2.7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D4108D">
        <w:rPr>
          <w:rFonts w:cs="Arial"/>
          <w:b/>
          <w:i w:val="0"/>
          <w:sz w:val="24"/>
          <w:szCs w:val="24"/>
        </w:rPr>
        <w:t>Valor Unitário da Remuneração -VUR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CE487E" w:rsidP="00F87CD3">
      <w:pPr>
        <w:ind w:firstLine="709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   </w:t>
      </w:r>
      <w:r w:rsidR="00D4108D">
        <w:rPr>
          <w:rFonts w:cs="Arial"/>
          <w:i w:val="0"/>
        </w:rPr>
        <w:t>O valor unitário da remuneração corresponde ao custo da</w:t>
      </w:r>
      <w:r w:rsidR="002A0FAA">
        <w:rPr>
          <w:rFonts w:cs="Arial"/>
          <w:i w:val="0"/>
        </w:rPr>
        <w:t xml:space="preserve"> realização do projeto por metro quadrado. Este valor é o produto do CUB_C pelo IR</w:t>
      </w:r>
      <w:r w:rsidR="001555A7">
        <w:rPr>
          <w:rFonts w:cs="Arial"/>
          <w:i w:val="0"/>
        </w:rPr>
        <w:t xml:space="preserve"> (índice de remuneração)</w:t>
      </w:r>
      <w:r w:rsidR="002A0FAA">
        <w:rPr>
          <w:rFonts w:cs="Arial"/>
          <w:i w:val="0"/>
        </w:rPr>
        <w:t xml:space="preserve"> da CAIXA.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CE487E" w:rsidP="00CE487E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2.8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2A0FAA">
        <w:rPr>
          <w:rFonts w:cs="Arial"/>
          <w:b/>
          <w:i w:val="0"/>
          <w:sz w:val="24"/>
          <w:szCs w:val="24"/>
        </w:rPr>
        <w:t>Método DEOB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Default="002A0FAA" w:rsidP="00F87CD3">
      <w:pPr>
        <w:widowControl w:val="0"/>
        <w:ind w:firstLine="851"/>
        <w:jc w:val="both"/>
        <w:rPr>
          <w:rFonts w:cs="Arial"/>
          <w:i w:val="0"/>
        </w:rPr>
      </w:pPr>
      <w:r>
        <w:rPr>
          <w:rFonts w:cs="Arial"/>
          <w:i w:val="0"/>
        </w:rPr>
        <w:t>Método semelhante ao da Caixa Econômica Federal levando-se em consideração, contudo, o CUB DEOB na realização do cálculo. Este é o método sugerido pelo Departamento de Polícia Federal.</w:t>
      </w:r>
    </w:p>
    <w:p w:rsidR="008D3D53" w:rsidRDefault="008D3D53" w:rsidP="008D3D53">
      <w:pPr>
        <w:widowControl w:val="0"/>
        <w:jc w:val="both"/>
        <w:rPr>
          <w:rFonts w:cs="Arial"/>
          <w:i w:val="0"/>
        </w:rPr>
      </w:pPr>
    </w:p>
    <w:p w:rsidR="008D3D53" w:rsidRPr="00B73F2F" w:rsidRDefault="008D3D53" w:rsidP="008D3D53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B73F2F">
        <w:rPr>
          <w:rFonts w:cs="Arial"/>
          <w:b/>
          <w:i w:val="0"/>
          <w:sz w:val="24"/>
          <w:szCs w:val="24"/>
        </w:rPr>
        <w:t>2.9</w:t>
      </w:r>
      <w:r w:rsidRPr="00B73F2F">
        <w:rPr>
          <w:rFonts w:cs="Arial"/>
          <w:b/>
          <w:i w:val="0"/>
          <w:sz w:val="24"/>
          <w:szCs w:val="24"/>
        </w:rPr>
        <w:tab/>
        <w:t xml:space="preserve">   SINAPI</w:t>
      </w:r>
    </w:p>
    <w:p w:rsidR="008D3D53" w:rsidRPr="00B73F2F" w:rsidRDefault="008D3D53" w:rsidP="008D3D53">
      <w:pPr>
        <w:widowControl w:val="0"/>
        <w:jc w:val="both"/>
        <w:rPr>
          <w:rFonts w:cs="Arial"/>
          <w:i w:val="0"/>
        </w:rPr>
      </w:pPr>
    </w:p>
    <w:p w:rsidR="008D3D53" w:rsidRPr="00B73F2F" w:rsidRDefault="008D3D53" w:rsidP="008D3D53">
      <w:pPr>
        <w:widowControl w:val="0"/>
        <w:jc w:val="both"/>
        <w:rPr>
          <w:rFonts w:cs="Arial"/>
          <w:i w:val="0"/>
        </w:rPr>
      </w:pPr>
      <w:r w:rsidRPr="00B73F2F">
        <w:rPr>
          <w:rFonts w:cs="Arial"/>
          <w:i w:val="0"/>
        </w:rPr>
        <w:tab/>
        <w:t>Foi utilizado para a cotação</w:t>
      </w:r>
      <w:r w:rsidR="00B73F2F" w:rsidRPr="00B73F2F">
        <w:rPr>
          <w:rFonts w:cs="Arial"/>
          <w:i w:val="0"/>
        </w:rPr>
        <w:t>, além dos valores de mercado, a tabela do SINAPI disponibilizado pela Caixa Econômica Federal.</w:t>
      </w:r>
    </w:p>
    <w:p w:rsidR="00F87CD3" w:rsidRPr="00B73F2F" w:rsidRDefault="00F87CD3" w:rsidP="00F87CD3">
      <w:pPr>
        <w:jc w:val="both"/>
        <w:rPr>
          <w:rFonts w:cs="Arial"/>
          <w:i w:val="0"/>
        </w:rPr>
      </w:pPr>
    </w:p>
    <w:p w:rsidR="008D3D53" w:rsidRPr="008D3D53" w:rsidRDefault="008D3D53" w:rsidP="008D3D53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B73F2F">
        <w:rPr>
          <w:rFonts w:cs="Arial"/>
          <w:b/>
          <w:i w:val="0"/>
          <w:sz w:val="24"/>
          <w:szCs w:val="24"/>
        </w:rPr>
        <w:t>2.10</w:t>
      </w:r>
      <w:r w:rsidRPr="00B73F2F">
        <w:rPr>
          <w:rFonts w:cs="Arial"/>
          <w:b/>
          <w:i w:val="0"/>
          <w:sz w:val="24"/>
          <w:szCs w:val="24"/>
        </w:rPr>
        <w:tab/>
        <w:t xml:space="preserve">   Tabela de Composição</w:t>
      </w:r>
    </w:p>
    <w:p w:rsidR="008D3D53" w:rsidRDefault="008D3D53" w:rsidP="00F87CD3">
      <w:pPr>
        <w:jc w:val="both"/>
        <w:rPr>
          <w:rFonts w:cs="Arial"/>
          <w:i w:val="0"/>
        </w:rPr>
      </w:pPr>
    </w:p>
    <w:p w:rsidR="00B73F2F" w:rsidRDefault="00B73F2F" w:rsidP="00F87CD3">
      <w:pPr>
        <w:jc w:val="both"/>
        <w:rPr>
          <w:rFonts w:cs="Arial"/>
          <w:i w:val="0"/>
        </w:rPr>
      </w:pPr>
      <w:r>
        <w:rPr>
          <w:rFonts w:cs="Arial"/>
          <w:i w:val="0"/>
        </w:rPr>
        <w:tab/>
        <w:t>Foi utilizado tabela de composição do SINAPI que inclui material e mão de obra, ambas com valor único, em cada unidade de medida especificada.</w:t>
      </w:r>
    </w:p>
    <w:p w:rsidR="008D3D53" w:rsidRPr="00430FA8" w:rsidRDefault="008D3D53" w:rsidP="00F87CD3">
      <w:pPr>
        <w:jc w:val="both"/>
        <w:rPr>
          <w:rFonts w:cs="Arial"/>
          <w:i w:val="0"/>
        </w:rPr>
      </w:pPr>
    </w:p>
    <w:p w:rsidR="001C2A3E" w:rsidRPr="00430FA8" w:rsidRDefault="001C2A3E" w:rsidP="0083196C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 w:rsidRPr="00430FA8">
        <w:rPr>
          <w:b/>
          <w:i w:val="0"/>
          <w:sz w:val="32"/>
          <w:szCs w:val="32"/>
        </w:rPr>
        <w:t>3</w:t>
      </w:r>
      <w:r w:rsidRPr="00430FA8">
        <w:rPr>
          <w:b/>
          <w:i w:val="0"/>
          <w:sz w:val="32"/>
          <w:szCs w:val="32"/>
        </w:rPr>
        <w:tab/>
      </w:r>
      <w:r w:rsidR="002A0FAA">
        <w:rPr>
          <w:b/>
          <w:i w:val="0"/>
          <w:sz w:val="32"/>
          <w:szCs w:val="32"/>
        </w:rPr>
        <w:t xml:space="preserve">Orçamento </w:t>
      </w:r>
      <w:r w:rsidR="00FB6B2F">
        <w:rPr>
          <w:b/>
          <w:i w:val="0"/>
          <w:sz w:val="32"/>
          <w:szCs w:val="32"/>
        </w:rPr>
        <w:t xml:space="preserve">do Projeto </w:t>
      </w:r>
      <w:r w:rsidR="002A0FAA">
        <w:rPr>
          <w:b/>
          <w:i w:val="0"/>
          <w:sz w:val="32"/>
          <w:szCs w:val="32"/>
        </w:rPr>
        <w:t>pelo Método da CAIXA</w:t>
      </w:r>
    </w:p>
    <w:p w:rsidR="001C2A3E" w:rsidRPr="00430FA8" w:rsidRDefault="001C2A3E" w:rsidP="001C2A3E">
      <w:pPr>
        <w:suppressAutoHyphens/>
        <w:ind w:left="709" w:hanging="709"/>
        <w:jc w:val="both"/>
        <w:rPr>
          <w:rFonts w:cs="Arial"/>
          <w:b/>
        </w:rPr>
      </w:pPr>
    </w:p>
    <w:p w:rsidR="001C2A3E" w:rsidRPr="00430FA8" w:rsidRDefault="001C2A3E" w:rsidP="00D11108">
      <w:pPr>
        <w:tabs>
          <w:tab w:val="left" w:pos="851"/>
        </w:tabs>
        <w:suppressAutoHyphens/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3.1 </w:t>
      </w:r>
      <w:r w:rsidRPr="00430FA8">
        <w:rPr>
          <w:rFonts w:cs="Arial"/>
          <w:b/>
          <w:i w:val="0"/>
          <w:sz w:val="24"/>
          <w:szCs w:val="24"/>
        </w:rPr>
        <w:tab/>
      </w:r>
      <w:r w:rsidR="00D11108" w:rsidRPr="00430FA8">
        <w:rPr>
          <w:rFonts w:cs="Arial"/>
          <w:b/>
          <w:i w:val="0"/>
          <w:sz w:val="24"/>
          <w:szCs w:val="24"/>
        </w:rPr>
        <w:tab/>
      </w:r>
      <w:r w:rsidR="00C87652">
        <w:rPr>
          <w:rFonts w:cs="Arial"/>
          <w:b/>
          <w:i w:val="0"/>
          <w:sz w:val="24"/>
          <w:szCs w:val="24"/>
        </w:rPr>
        <w:t>Custo do Projeto</w:t>
      </w:r>
      <w:r w:rsidR="008E0CB0">
        <w:rPr>
          <w:rFonts w:cs="Arial"/>
          <w:b/>
          <w:i w:val="0"/>
          <w:sz w:val="24"/>
          <w:szCs w:val="24"/>
        </w:rPr>
        <w:t xml:space="preserve"> (Despesas Diretas)</w:t>
      </w:r>
    </w:p>
    <w:p w:rsidR="001C2A3E" w:rsidRPr="00430FA8" w:rsidRDefault="001C2A3E" w:rsidP="001C2A3E">
      <w:pPr>
        <w:suppressAutoHyphens/>
        <w:jc w:val="both"/>
        <w:rPr>
          <w:rFonts w:cs="Arial"/>
          <w:b/>
          <w:i w:val="0"/>
        </w:rPr>
      </w:pPr>
    </w:p>
    <w:p w:rsidR="001555A7" w:rsidRDefault="002A0FAA" w:rsidP="001C2A3E">
      <w:pPr>
        <w:suppressAutoHyphens/>
        <w:ind w:firstLine="709"/>
        <w:jc w:val="both"/>
        <w:rPr>
          <w:rFonts w:cs="Arial"/>
          <w:i w:val="0"/>
        </w:rPr>
      </w:pPr>
      <w:r>
        <w:rPr>
          <w:rFonts w:cs="Arial"/>
          <w:i w:val="0"/>
        </w:rPr>
        <w:t xml:space="preserve">Por meio do método da CAIXA, encontrou-se um custo </w:t>
      </w:r>
      <w:r w:rsidRPr="008D3D53">
        <w:rPr>
          <w:rFonts w:cs="Arial"/>
          <w:i w:val="0"/>
        </w:rPr>
        <w:t xml:space="preserve">de </w:t>
      </w:r>
      <w:r w:rsidRPr="008D3D53">
        <w:rPr>
          <w:rFonts w:cs="Arial"/>
          <w:i w:val="0"/>
          <w:highlight w:val="yellow"/>
        </w:rPr>
        <w:t xml:space="preserve">R$ </w:t>
      </w:r>
      <w:r w:rsidR="005D0F07" w:rsidRPr="008D3D53">
        <w:rPr>
          <w:rFonts w:cs="Arial"/>
          <w:i w:val="0"/>
          <w:highlight w:val="yellow"/>
        </w:rPr>
        <w:t>8.</w:t>
      </w:r>
      <w:r w:rsidR="005224CC">
        <w:rPr>
          <w:rFonts w:cs="Arial"/>
          <w:i w:val="0"/>
          <w:highlight w:val="yellow"/>
        </w:rPr>
        <w:t>356,94</w:t>
      </w:r>
      <w:r w:rsidRPr="008D3D53">
        <w:rPr>
          <w:rFonts w:cs="Arial"/>
          <w:i w:val="0"/>
          <w:highlight w:val="yellow"/>
        </w:rPr>
        <w:t xml:space="preserve"> </w:t>
      </w:r>
      <w:r w:rsidR="001555A7" w:rsidRPr="008D3D53">
        <w:rPr>
          <w:rFonts w:cs="Arial"/>
          <w:i w:val="0"/>
          <w:highlight w:val="yellow"/>
        </w:rPr>
        <w:t>para a realização do projeto</w:t>
      </w:r>
      <w:r w:rsidR="005D0F07" w:rsidRPr="008D3D53">
        <w:rPr>
          <w:rFonts w:cs="Arial"/>
          <w:i w:val="0"/>
          <w:highlight w:val="yellow"/>
        </w:rPr>
        <w:t xml:space="preserve"> como construído do SPDA do edifício Sede do DPF</w:t>
      </w:r>
      <w:r w:rsidR="008D3D53" w:rsidRPr="008D3D53">
        <w:rPr>
          <w:rFonts w:cs="Arial"/>
          <w:i w:val="0"/>
          <w:highlight w:val="yellow"/>
        </w:rPr>
        <w:t>, incluindo Planilha Orçamentária e Cronograma Físico Financeiro</w:t>
      </w:r>
      <w:r>
        <w:rPr>
          <w:rFonts w:cs="Arial"/>
          <w:i w:val="0"/>
        </w:rPr>
        <w:t>.</w:t>
      </w:r>
      <w:r w:rsidR="001555A7">
        <w:rPr>
          <w:rFonts w:cs="Arial"/>
          <w:i w:val="0"/>
        </w:rPr>
        <w:t xml:space="preserve"> O custo encontrado não leva em consideração as bonificações e despesas indiretas.</w:t>
      </w:r>
    </w:p>
    <w:p w:rsidR="001555A7" w:rsidRDefault="001555A7" w:rsidP="001C2A3E">
      <w:pPr>
        <w:suppressAutoHyphens/>
        <w:ind w:firstLine="709"/>
        <w:jc w:val="both"/>
        <w:rPr>
          <w:rFonts w:cs="Arial"/>
          <w:i w:val="0"/>
        </w:rPr>
      </w:pPr>
    </w:p>
    <w:p w:rsidR="001C2A3E" w:rsidRDefault="001555A7" w:rsidP="001C2A3E">
      <w:pPr>
        <w:suppressAutoHyphens/>
        <w:ind w:firstLine="709"/>
        <w:jc w:val="both"/>
        <w:rPr>
          <w:rFonts w:cs="Arial"/>
          <w:i w:val="0"/>
        </w:rPr>
      </w:pPr>
      <w:r>
        <w:rPr>
          <w:rFonts w:cs="Arial"/>
          <w:i w:val="0"/>
        </w:rPr>
        <w:t xml:space="preserve">Este cálculo utilizou uma área efetiva igual </w:t>
      </w:r>
      <w:r w:rsidR="005D0F07" w:rsidRPr="00EB015A">
        <w:rPr>
          <w:rFonts w:cs="Arial"/>
          <w:i w:val="0"/>
          <w:highlight w:val="yellow"/>
        </w:rPr>
        <w:t>8.675</w:t>
      </w:r>
      <w:r w:rsidRPr="00EB015A">
        <w:rPr>
          <w:rFonts w:cs="Arial"/>
          <w:i w:val="0"/>
          <w:highlight w:val="yellow"/>
        </w:rPr>
        <w:t xml:space="preserve"> metros quadrados</w:t>
      </w:r>
      <w:r w:rsidRPr="005D0F07">
        <w:rPr>
          <w:rFonts w:cs="Arial"/>
          <w:i w:val="0"/>
        </w:rPr>
        <w:t>, s</w:t>
      </w:r>
      <w:r w:rsidR="005D0F07" w:rsidRPr="005D0F07">
        <w:rPr>
          <w:rFonts w:cs="Arial"/>
          <w:i w:val="0"/>
        </w:rPr>
        <w:t xml:space="preserve">endo a área real igual </w:t>
      </w:r>
      <w:r w:rsidR="005D0F07" w:rsidRPr="00EB015A">
        <w:rPr>
          <w:rFonts w:cs="Arial"/>
          <w:i w:val="0"/>
          <w:highlight w:val="yellow"/>
        </w:rPr>
        <w:t>16.400</w:t>
      </w:r>
      <w:r w:rsidRPr="00EB015A">
        <w:rPr>
          <w:rFonts w:cs="Arial"/>
          <w:i w:val="0"/>
          <w:highlight w:val="yellow"/>
        </w:rPr>
        <w:t xml:space="preserve"> metros quadrados</w:t>
      </w:r>
      <w:r>
        <w:rPr>
          <w:rFonts w:cs="Arial"/>
          <w:i w:val="0"/>
        </w:rPr>
        <w:t>, conforme estipulação do projeto básico anterior para a mesma matéria.</w:t>
      </w:r>
    </w:p>
    <w:p w:rsidR="002A0FAA" w:rsidRPr="00430FA8" w:rsidRDefault="002A0FAA" w:rsidP="002A0FAA">
      <w:pPr>
        <w:suppressAutoHyphens/>
        <w:jc w:val="both"/>
        <w:rPr>
          <w:rFonts w:cs="Arial"/>
          <w:i w:val="0"/>
        </w:rPr>
      </w:pPr>
    </w:p>
    <w:p w:rsidR="001C2A3E" w:rsidRDefault="001C2A3E" w:rsidP="00D11108">
      <w:pPr>
        <w:tabs>
          <w:tab w:val="left" w:pos="851"/>
        </w:tabs>
        <w:suppressAutoHyphens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3.2 </w:t>
      </w:r>
      <w:r w:rsidRPr="00430FA8">
        <w:rPr>
          <w:rFonts w:cs="Arial"/>
          <w:b/>
          <w:i w:val="0"/>
          <w:sz w:val="24"/>
          <w:szCs w:val="24"/>
        </w:rPr>
        <w:tab/>
      </w:r>
      <w:r w:rsidR="002A0FAA">
        <w:rPr>
          <w:rFonts w:cs="Arial"/>
          <w:b/>
          <w:i w:val="0"/>
          <w:sz w:val="24"/>
          <w:szCs w:val="24"/>
        </w:rPr>
        <w:t>Tabela Orçamentária</w:t>
      </w:r>
    </w:p>
    <w:tbl>
      <w:tblPr>
        <w:tblW w:w="85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7"/>
        <w:gridCol w:w="753"/>
        <w:gridCol w:w="1414"/>
        <w:gridCol w:w="939"/>
        <w:gridCol w:w="1414"/>
        <w:gridCol w:w="906"/>
        <w:gridCol w:w="1527"/>
      </w:tblGrid>
      <w:tr w:rsidR="00EB015A" w:rsidRPr="00EB015A" w:rsidTr="00EB015A">
        <w:trPr>
          <w:trHeight w:val="315"/>
        </w:trPr>
        <w:tc>
          <w:tcPr>
            <w:tcW w:w="85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6DCE4"/>
            <w:noWrap/>
            <w:vAlign w:val="bottom"/>
            <w:hideMark/>
          </w:tcPr>
          <w:p w:rsidR="00EB015A" w:rsidRPr="00EB015A" w:rsidRDefault="00EB015A" w:rsidP="00EB01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EB015A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MÉTODO DE ORÇAMENTO DE PROJETO CAIXA</w:t>
            </w:r>
          </w:p>
        </w:tc>
      </w:tr>
      <w:tr w:rsidR="00EB015A" w:rsidRPr="00EB015A" w:rsidTr="00EB015A">
        <w:trPr>
          <w:trHeight w:val="300"/>
        </w:trPr>
        <w:tc>
          <w:tcPr>
            <w:tcW w:w="16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15A" w:rsidRPr="00EB015A" w:rsidRDefault="00EB015A" w:rsidP="00EB01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EB015A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ESPECIALIDADE</w:t>
            </w:r>
          </w:p>
        </w:tc>
        <w:tc>
          <w:tcPr>
            <w:tcW w:w="7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015A" w:rsidRPr="00EB015A" w:rsidRDefault="00EB015A" w:rsidP="00EB01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EB015A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IR</w:t>
            </w:r>
          </w:p>
        </w:tc>
        <w:tc>
          <w:tcPr>
            <w:tcW w:w="235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015A" w:rsidRPr="00EB015A" w:rsidRDefault="00EB015A" w:rsidP="00EB01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EB015A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CUB SINDUSCON-DF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015A" w:rsidRPr="00EB015A" w:rsidRDefault="00EB015A" w:rsidP="00EB01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EB015A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CUB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015A" w:rsidRPr="00EB015A" w:rsidRDefault="00EB015A" w:rsidP="00EB01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EB015A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VUR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15A" w:rsidRPr="00EB015A" w:rsidRDefault="00EB015A" w:rsidP="00EB01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EB015A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VALOR</w:t>
            </w:r>
          </w:p>
        </w:tc>
      </w:tr>
      <w:tr w:rsidR="00EB015A" w:rsidRPr="00EB015A" w:rsidTr="00EB015A">
        <w:trPr>
          <w:trHeight w:val="315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015A" w:rsidRPr="00EB015A" w:rsidRDefault="00EB015A" w:rsidP="00EB01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EB015A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PROJETO</w:t>
            </w:r>
          </w:p>
        </w:tc>
        <w:tc>
          <w:tcPr>
            <w:tcW w:w="7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015A" w:rsidRPr="00EB015A" w:rsidRDefault="00EB015A" w:rsidP="00EB015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15A" w:rsidRPr="00EB015A" w:rsidRDefault="00EB015A" w:rsidP="00EB01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EB015A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VALOR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015A" w:rsidRPr="00EB015A" w:rsidRDefault="00EB015A" w:rsidP="00EB01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EB015A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Tipo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015A" w:rsidRPr="00EB015A" w:rsidRDefault="00EB015A" w:rsidP="00EB01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EB015A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CAIXA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015A" w:rsidRPr="00EB015A" w:rsidRDefault="00EB015A" w:rsidP="00EB01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EB015A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[R$/m2]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015A" w:rsidRPr="00EB015A" w:rsidRDefault="00EB015A" w:rsidP="00EB01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EB015A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[R$]</w:t>
            </w:r>
          </w:p>
        </w:tc>
      </w:tr>
      <w:tr w:rsidR="00EB015A" w:rsidRPr="00EB015A" w:rsidTr="00EB015A">
        <w:trPr>
          <w:trHeight w:val="300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15A" w:rsidRPr="00EB015A" w:rsidRDefault="00EB015A" w:rsidP="00EB01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EB015A">
              <w:rPr>
                <w:rFonts w:ascii="Calibri" w:hAnsi="Calibri"/>
                <w:i w:val="0"/>
                <w:color w:val="000000"/>
                <w:sz w:val="22"/>
                <w:szCs w:val="22"/>
              </w:rPr>
              <w:t>SPDA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15A" w:rsidRPr="00EB015A" w:rsidRDefault="00EB015A" w:rsidP="00EB01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EB015A">
              <w:rPr>
                <w:rFonts w:ascii="Calibri" w:hAnsi="Calibri"/>
                <w:i w:val="0"/>
                <w:color w:val="000000"/>
                <w:sz w:val="22"/>
                <w:szCs w:val="22"/>
              </w:rPr>
              <w:t>0,0004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15A" w:rsidRPr="00EB015A" w:rsidRDefault="00EB015A" w:rsidP="00EB01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EB015A">
              <w:rPr>
                <w:rFonts w:ascii="Calibri" w:hAnsi="Calibri"/>
                <w:i w:val="0"/>
                <w:color w:val="000000"/>
                <w:sz w:val="22"/>
                <w:szCs w:val="22"/>
              </w:rPr>
              <w:t xml:space="preserve"> R$   1.420,05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15A" w:rsidRPr="00EB015A" w:rsidRDefault="00EB015A" w:rsidP="00EB01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EB015A">
              <w:rPr>
                <w:rFonts w:ascii="Calibri" w:hAnsi="Calibri"/>
                <w:i w:val="0"/>
                <w:color w:val="000000"/>
                <w:sz w:val="22"/>
                <w:szCs w:val="22"/>
              </w:rPr>
              <w:t>CLS-16 N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15A" w:rsidRPr="00EB015A" w:rsidRDefault="005224CC" w:rsidP="00EB01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 w:val="0"/>
                <w:color w:val="000000"/>
                <w:sz w:val="22"/>
                <w:szCs w:val="22"/>
              </w:rPr>
              <w:t xml:space="preserve"> R$   2.408,34</w:t>
            </w:r>
            <w:r w:rsidR="00EB015A" w:rsidRPr="00EB015A">
              <w:rPr>
                <w:rFonts w:ascii="Calibri" w:hAnsi="Calibri"/>
                <w:i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15A" w:rsidRPr="00EB015A" w:rsidRDefault="00EB015A" w:rsidP="00EB01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EB015A">
              <w:rPr>
                <w:rFonts w:ascii="Calibri" w:hAnsi="Calibri"/>
                <w:i w:val="0"/>
                <w:color w:val="000000"/>
                <w:sz w:val="22"/>
                <w:szCs w:val="22"/>
              </w:rPr>
              <w:t>0,966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EB015A" w:rsidRPr="00EB015A" w:rsidRDefault="005224CC" w:rsidP="00EB01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 w:val="0"/>
                <w:color w:val="000000"/>
                <w:sz w:val="22"/>
                <w:szCs w:val="22"/>
              </w:rPr>
              <w:t xml:space="preserve"> R$     8.356,94</w:t>
            </w:r>
            <w:r w:rsidR="00EB015A" w:rsidRPr="00EB015A">
              <w:rPr>
                <w:rFonts w:ascii="Calibri" w:hAnsi="Calibri"/>
                <w:i w:val="0"/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5D0F07" w:rsidRDefault="005D0F07" w:rsidP="001C2A3E">
      <w:pPr>
        <w:tabs>
          <w:tab w:val="left" w:pos="565"/>
          <w:tab w:val="left" w:pos="1129"/>
          <w:tab w:val="left" w:pos="1699"/>
          <w:tab w:val="left" w:pos="2263"/>
          <w:tab w:val="left" w:pos="2833"/>
          <w:tab w:val="left" w:pos="3397"/>
          <w:tab w:val="left" w:pos="3967"/>
          <w:tab w:val="left" w:pos="4531"/>
          <w:tab w:val="left" w:pos="5101"/>
          <w:tab w:val="left" w:pos="5665"/>
          <w:tab w:val="left" w:pos="6235"/>
          <w:tab w:val="left" w:pos="6799"/>
          <w:tab w:val="left" w:pos="7369"/>
          <w:tab w:val="left" w:pos="7933"/>
          <w:tab w:val="left" w:pos="8503"/>
          <w:tab w:val="left" w:pos="9067"/>
          <w:tab w:val="left" w:pos="9637"/>
          <w:tab w:val="left" w:pos="10201"/>
          <w:tab w:val="left" w:pos="10771"/>
          <w:tab w:val="left" w:pos="11335"/>
          <w:tab w:val="left" w:pos="11905"/>
          <w:tab w:val="left" w:pos="12469"/>
          <w:tab w:val="left" w:pos="13039"/>
          <w:tab w:val="left" w:pos="13603"/>
          <w:tab w:val="left" w:pos="14167"/>
          <w:tab w:val="left" w:pos="14737"/>
          <w:tab w:val="left" w:pos="15301"/>
          <w:tab w:val="left" w:pos="15871"/>
          <w:tab w:val="left" w:pos="16435"/>
          <w:tab w:val="left" w:pos="17005"/>
          <w:tab w:val="left" w:pos="17569"/>
          <w:tab w:val="left" w:pos="18139"/>
          <w:tab w:val="left" w:pos="18703"/>
          <w:tab w:val="left" w:pos="19273"/>
          <w:tab w:val="left" w:pos="19837"/>
          <w:tab w:val="left" w:pos="20407"/>
          <w:tab w:val="left" w:pos="20971"/>
          <w:tab w:val="left" w:pos="21541"/>
          <w:tab w:val="left" w:pos="22105"/>
          <w:tab w:val="left" w:pos="22675"/>
        </w:tabs>
        <w:jc w:val="both"/>
        <w:rPr>
          <w:rFonts w:cs="Arial"/>
          <w:b/>
          <w:i w:val="0"/>
          <w:sz w:val="24"/>
          <w:szCs w:val="24"/>
        </w:rPr>
      </w:pPr>
    </w:p>
    <w:p w:rsidR="00EB015A" w:rsidRDefault="00EB015A" w:rsidP="001C2A3E">
      <w:pPr>
        <w:tabs>
          <w:tab w:val="left" w:pos="565"/>
          <w:tab w:val="left" w:pos="1129"/>
          <w:tab w:val="left" w:pos="1699"/>
          <w:tab w:val="left" w:pos="2263"/>
          <w:tab w:val="left" w:pos="2833"/>
          <w:tab w:val="left" w:pos="3397"/>
          <w:tab w:val="left" w:pos="3967"/>
          <w:tab w:val="left" w:pos="4531"/>
          <w:tab w:val="left" w:pos="5101"/>
          <w:tab w:val="left" w:pos="5665"/>
          <w:tab w:val="left" w:pos="6235"/>
          <w:tab w:val="left" w:pos="6799"/>
          <w:tab w:val="left" w:pos="7369"/>
          <w:tab w:val="left" w:pos="7933"/>
          <w:tab w:val="left" w:pos="8503"/>
          <w:tab w:val="left" w:pos="9067"/>
          <w:tab w:val="left" w:pos="9637"/>
          <w:tab w:val="left" w:pos="10201"/>
          <w:tab w:val="left" w:pos="10771"/>
          <w:tab w:val="left" w:pos="11335"/>
          <w:tab w:val="left" w:pos="11905"/>
          <w:tab w:val="left" w:pos="12469"/>
          <w:tab w:val="left" w:pos="13039"/>
          <w:tab w:val="left" w:pos="13603"/>
          <w:tab w:val="left" w:pos="14167"/>
          <w:tab w:val="left" w:pos="14737"/>
          <w:tab w:val="left" w:pos="15301"/>
          <w:tab w:val="left" w:pos="15871"/>
          <w:tab w:val="left" w:pos="16435"/>
          <w:tab w:val="left" w:pos="17005"/>
          <w:tab w:val="left" w:pos="17569"/>
          <w:tab w:val="left" w:pos="18139"/>
          <w:tab w:val="left" w:pos="18703"/>
          <w:tab w:val="left" w:pos="19273"/>
          <w:tab w:val="left" w:pos="19837"/>
          <w:tab w:val="left" w:pos="20407"/>
          <w:tab w:val="left" w:pos="20971"/>
          <w:tab w:val="left" w:pos="21541"/>
          <w:tab w:val="left" w:pos="22105"/>
          <w:tab w:val="left" w:pos="22675"/>
        </w:tabs>
        <w:jc w:val="both"/>
        <w:rPr>
          <w:rFonts w:cs="Arial"/>
          <w:b/>
          <w:i w:val="0"/>
          <w:sz w:val="24"/>
          <w:szCs w:val="24"/>
        </w:rPr>
      </w:pPr>
    </w:p>
    <w:p w:rsidR="00EB015A" w:rsidRDefault="00EB015A" w:rsidP="001C2A3E">
      <w:pPr>
        <w:tabs>
          <w:tab w:val="left" w:pos="565"/>
          <w:tab w:val="left" w:pos="1129"/>
          <w:tab w:val="left" w:pos="1699"/>
          <w:tab w:val="left" w:pos="2263"/>
          <w:tab w:val="left" w:pos="2833"/>
          <w:tab w:val="left" w:pos="3397"/>
          <w:tab w:val="left" w:pos="3967"/>
          <w:tab w:val="left" w:pos="4531"/>
          <w:tab w:val="left" w:pos="5101"/>
          <w:tab w:val="left" w:pos="5665"/>
          <w:tab w:val="left" w:pos="6235"/>
          <w:tab w:val="left" w:pos="6799"/>
          <w:tab w:val="left" w:pos="7369"/>
          <w:tab w:val="left" w:pos="7933"/>
          <w:tab w:val="left" w:pos="8503"/>
          <w:tab w:val="left" w:pos="9067"/>
          <w:tab w:val="left" w:pos="9637"/>
          <w:tab w:val="left" w:pos="10201"/>
          <w:tab w:val="left" w:pos="10771"/>
          <w:tab w:val="left" w:pos="11335"/>
          <w:tab w:val="left" w:pos="11905"/>
          <w:tab w:val="left" w:pos="12469"/>
          <w:tab w:val="left" w:pos="13039"/>
          <w:tab w:val="left" w:pos="13603"/>
          <w:tab w:val="left" w:pos="14167"/>
          <w:tab w:val="left" w:pos="14737"/>
          <w:tab w:val="left" w:pos="15301"/>
          <w:tab w:val="left" w:pos="15871"/>
          <w:tab w:val="left" w:pos="16435"/>
          <w:tab w:val="left" w:pos="17005"/>
          <w:tab w:val="left" w:pos="17569"/>
          <w:tab w:val="left" w:pos="18139"/>
          <w:tab w:val="left" w:pos="18703"/>
          <w:tab w:val="left" w:pos="19273"/>
          <w:tab w:val="left" w:pos="19837"/>
          <w:tab w:val="left" w:pos="20407"/>
          <w:tab w:val="left" w:pos="20971"/>
          <w:tab w:val="left" w:pos="21541"/>
          <w:tab w:val="left" w:pos="22105"/>
          <w:tab w:val="left" w:pos="22675"/>
        </w:tabs>
        <w:jc w:val="both"/>
        <w:rPr>
          <w:rFonts w:cs="Arial"/>
          <w:b/>
          <w:i w:val="0"/>
          <w:sz w:val="24"/>
          <w:szCs w:val="24"/>
        </w:rPr>
      </w:pPr>
    </w:p>
    <w:p w:rsidR="00EB015A" w:rsidRDefault="00EB015A" w:rsidP="001C2A3E">
      <w:pPr>
        <w:tabs>
          <w:tab w:val="left" w:pos="565"/>
          <w:tab w:val="left" w:pos="1129"/>
          <w:tab w:val="left" w:pos="1699"/>
          <w:tab w:val="left" w:pos="2263"/>
          <w:tab w:val="left" w:pos="2833"/>
          <w:tab w:val="left" w:pos="3397"/>
          <w:tab w:val="left" w:pos="3967"/>
          <w:tab w:val="left" w:pos="4531"/>
          <w:tab w:val="left" w:pos="5101"/>
          <w:tab w:val="left" w:pos="5665"/>
          <w:tab w:val="left" w:pos="6235"/>
          <w:tab w:val="left" w:pos="6799"/>
          <w:tab w:val="left" w:pos="7369"/>
          <w:tab w:val="left" w:pos="7933"/>
          <w:tab w:val="left" w:pos="8503"/>
          <w:tab w:val="left" w:pos="9067"/>
          <w:tab w:val="left" w:pos="9637"/>
          <w:tab w:val="left" w:pos="10201"/>
          <w:tab w:val="left" w:pos="10771"/>
          <w:tab w:val="left" w:pos="11335"/>
          <w:tab w:val="left" w:pos="11905"/>
          <w:tab w:val="left" w:pos="12469"/>
          <w:tab w:val="left" w:pos="13039"/>
          <w:tab w:val="left" w:pos="13603"/>
          <w:tab w:val="left" w:pos="14167"/>
          <w:tab w:val="left" w:pos="14737"/>
          <w:tab w:val="left" w:pos="15301"/>
          <w:tab w:val="left" w:pos="15871"/>
          <w:tab w:val="left" w:pos="16435"/>
          <w:tab w:val="left" w:pos="17005"/>
          <w:tab w:val="left" w:pos="17569"/>
          <w:tab w:val="left" w:pos="18139"/>
          <w:tab w:val="left" w:pos="18703"/>
          <w:tab w:val="left" w:pos="19273"/>
          <w:tab w:val="left" w:pos="19837"/>
          <w:tab w:val="left" w:pos="20407"/>
          <w:tab w:val="left" w:pos="20971"/>
          <w:tab w:val="left" w:pos="21541"/>
          <w:tab w:val="left" w:pos="22105"/>
          <w:tab w:val="left" w:pos="22675"/>
        </w:tabs>
        <w:jc w:val="both"/>
        <w:rPr>
          <w:rFonts w:cs="Arial"/>
          <w:b/>
          <w:i w:val="0"/>
          <w:sz w:val="24"/>
          <w:szCs w:val="24"/>
        </w:rPr>
      </w:pPr>
    </w:p>
    <w:p w:rsidR="00EB015A" w:rsidRDefault="00EB015A" w:rsidP="001C2A3E">
      <w:pPr>
        <w:tabs>
          <w:tab w:val="left" w:pos="565"/>
          <w:tab w:val="left" w:pos="1129"/>
          <w:tab w:val="left" w:pos="1699"/>
          <w:tab w:val="left" w:pos="2263"/>
          <w:tab w:val="left" w:pos="2833"/>
          <w:tab w:val="left" w:pos="3397"/>
          <w:tab w:val="left" w:pos="3967"/>
          <w:tab w:val="left" w:pos="4531"/>
          <w:tab w:val="left" w:pos="5101"/>
          <w:tab w:val="left" w:pos="5665"/>
          <w:tab w:val="left" w:pos="6235"/>
          <w:tab w:val="left" w:pos="6799"/>
          <w:tab w:val="left" w:pos="7369"/>
          <w:tab w:val="left" w:pos="7933"/>
          <w:tab w:val="left" w:pos="8503"/>
          <w:tab w:val="left" w:pos="9067"/>
          <w:tab w:val="left" w:pos="9637"/>
          <w:tab w:val="left" w:pos="10201"/>
          <w:tab w:val="left" w:pos="10771"/>
          <w:tab w:val="left" w:pos="11335"/>
          <w:tab w:val="left" w:pos="11905"/>
          <w:tab w:val="left" w:pos="12469"/>
          <w:tab w:val="left" w:pos="13039"/>
          <w:tab w:val="left" w:pos="13603"/>
          <w:tab w:val="left" w:pos="14167"/>
          <w:tab w:val="left" w:pos="14737"/>
          <w:tab w:val="left" w:pos="15301"/>
          <w:tab w:val="left" w:pos="15871"/>
          <w:tab w:val="left" w:pos="16435"/>
          <w:tab w:val="left" w:pos="17005"/>
          <w:tab w:val="left" w:pos="17569"/>
          <w:tab w:val="left" w:pos="18139"/>
          <w:tab w:val="left" w:pos="18703"/>
          <w:tab w:val="left" w:pos="19273"/>
          <w:tab w:val="left" w:pos="19837"/>
          <w:tab w:val="left" w:pos="20407"/>
          <w:tab w:val="left" w:pos="20971"/>
          <w:tab w:val="left" w:pos="21541"/>
          <w:tab w:val="left" w:pos="22105"/>
          <w:tab w:val="left" w:pos="22675"/>
        </w:tabs>
        <w:jc w:val="both"/>
        <w:rPr>
          <w:rFonts w:cs="Arial"/>
          <w:b/>
          <w:i w:val="0"/>
          <w:sz w:val="24"/>
          <w:szCs w:val="24"/>
        </w:rPr>
      </w:pPr>
    </w:p>
    <w:p w:rsidR="00EB015A" w:rsidRDefault="00EB015A" w:rsidP="001C2A3E">
      <w:pPr>
        <w:tabs>
          <w:tab w:val="left" w:pos="565"/>
          <w:tab w:val="left" w:pos="1129"/>
          <w:tab w:val="left" w:pos="1699"/>
          <w:tab w:val="left" w:pos="2263"/>
          <w:tab w:val="left" w:pos="2833"/>
          <w:tab w:val="left" w:pos="3397"/>
          <w:tab w:val="left" w:pos="3967"/>
          <w:tab w:val="left" w:pos="4531"/>
          <w:tab w:val="left" w:pos="5101"/>
          <w:tab w:val="left" w:pos="5665"/>
          <w:tab w:val="left" w:pos="6235"/>
          <w:tab w:val="left" w:pos="6799"/>
          <w:tab w:val="left" w:pos="7369"/>
          <w:tab w:val="left" w:pos="7933"/>
          <w:tab w:val="left" w:pos="8503"/>
          <w:tab w:val="left" w:pos="9067"/>
          <w:tab w:val="left" w:pos="9637"/>
          <w:tab w:val="left" w:pos="10201"/>
          <w:tab w:val="left" w:pos="10771"/>
          <w:tab w:val="left" w:pos="11335"/>
          <w:tab w:val="left" w:pos="11905"/>
          <w:tab w:val="left" w:pos="12469"/>
          <w:tab w:val="left" w:pos="13039"/>
          <w:tab w:val="left" w:pos="13603"/>
          <w:tab w:val="left" w:pos="14167"/>
          <w:tab w:val="left" w:pos="14737"/>
          <w:tab w:val="left" w:pos="15301"/>
          <w:tab w:val="left" w:pos="15871"/>
          <w:tab w:val="left" w:pos="16435"/>
          <w:tab w:val="left" w:pos="17005"/>
          <w:tab w:val="left" w:pos="17569"/>
          <w:tab w:val="left" w:pos="18139"/>
          <w:tab w:val="left" w:pos="18703"/>
          <w:tab w:val="left" w:pos="19273"/>
          <w:tab w:val="left" w:pos="19837"/>
          <w:tab w:val="left" w:pos="20407"/>
          <w:tab w:val="left" w:pos="20971"/>
          <w:tab w:val="left" w:pos="21541"/>
          <w:tab w:val="left" w:pos="22105"/>
          <w:tab w:val="left" w:pos="22675"/>
        </w:tabs>
        <w:jc w:val="both"/>
        <w:rPr>
          <w:rFonts w:cs="Arial"/>
          <w:i w:val="0"/>
        </w:rPr>
      </w:pPr>
    </w:p>
    <w:tbl>
      <w:tblPr>
        <w:tblW w:w="424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5"/>
        <w:gridCol w:w="1039"/>
        <w:gridCol w:w="1141"/>
        <w:gridCol w:w="1025"/>
      </w:tblGrid>
      <w:tr w:rsidR="005D0F07" w:rsidRPr="005D0F07" w:rsidTr="005D0F07">
        <w:trPr>
          <w:trHeight w:val="315"/>
        </w:trPr>
        <w:tc>
          <w:tcPr>
            <w:tcW w:w="42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6DCE4"/>
            <w:noWrap/>
            <w:vAlign w:val="center"/>
            <w:hideMark/>
          </w:tcPr>
          <w:p w:rsidR="005D0F07" w:rsidRPr="005D0F07" w:rsidRDefault="005D0F07" w:rsidP="005D0F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5D0F07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CALCULO DA ÁREA EFETIVA DA CAIXA -CEF</w:t>
            </w:r>
          </w:p>
        </w:tc>
      </w:tr>
      <w:tr w:rsidR="005D0F07" w:rsidRPr="005D0F07" w:rsidTr="005D0F07">
        <w:trPr>
          <w:trHeight w:val="300"/>
        </w:trPr>
        <w:tc>
          <w:tcPr>
            <w:tcW w:w="1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F07" w:rsidRPr="005D0F07" w:rsidRDefault="005D0F07" w:rsidP="005D0F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5D0F07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F07" w:rsidRPr="005D0F07" w:rsidRDefault="005D0F07" w:rsidP="005D0F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5D0F07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ÁREA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F07" w:rsidRPr="005D0F07" w:rsidRDefault="005D0F07" w:rsidP="005D0F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5D0F07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FATOR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0F07" w:rsidRPr="005D0F07" w:rsidRDefault="005D0F07" w:rsidP="005D0F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5D0F07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POND</w:t>
            </w:r>
          </w:p>
        </w:tc>
      </w:tr>
      <w:tr w:rsidR="005D0F07" w:rsidRPr="005D0F07" w:rsidTr="005D0F07">
        <w:trPr>
          <w:trHeight w:val="300"/>
        </w:trPr>
        <w:tc>
          <w:tcPr>
            <w:tcW w:w="1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F07" w:rsidRPr="005D0F07" w:rsidRDefault="005D0F07" w:rsidP="005D0F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5D0F07">
              <w:rPr>
                <w:rFonts w:ascii="Calibri" w:hAnsi="Calibri"/>
                <w:i w:val="0"/>
                <w:color w:val="000000"/>
                <w:sz w:val="22"/>
                <w:szCs w:val="22"/>
              </w:rPr>
              <w:t>&lt;300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F07" w:rsidRPr="005D0F07" w:rsidRDefault="005D0F07" w:rsidP="005D0F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5D0F07">
              <w:rPr>
                <w:rFonts w:ascii="Calibri" w:hAnsi="Calibri"/>
                <w:i w:val="0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F07" w:rsidRPr="005D0F07" w:rsidRDefault="005D0F07" w:rsidP="005D0F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5D0F07">
              <w:rPr>
                <w:rFonts w:ascii="Calibri" w:hAnsi="Calibri"/>
                <w:i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0F07" w:rsidRPr="005D0F07" w:rsidRDefault="005D0F07" w:rsidP="005D0F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5D0F07">
              <w:rPr>
                <w:rFonts w:ascii="Calibri" w:hAnsi="Calibri"/>
                <w:i w:val="0"/>
                <w:color w:val="000000"/>
                <w:sz w:val="22"/>
                <w:szCs w:val="22"/>
              </w:rPr>
              <w:t>300</w:t>
            </w:r>
          </w:p>
        </w:tc>
      </w:tr>
      <w:tr w:rsidR="005D0F07" w:rsidRPr="005D0F07" w:rsidTr="005D0F07">
        <w:trPr>
          <w:trHeight w:val="300"/>
        </w:trPr>
        <w:tc>
          <w:tcPr>
            <w:tcW w:w="1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F07" w:rsidRPr="005D0F07" w:rsidRDefault="005D0F07" w:rsidP="005D0F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5D0F07">
              <w:rPr>
                <w:rFonts w:ascii="Calibri" w:hAnsi="Calibri"/>
                <w:i w:val="0"/>
                <w:color w:val="000000"/>
                <w:sz w:val="22"/>
                <w:szCs w:val="22"/>
              </w:rPr>
              <w:t>&lt;800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F07" w:rsidRPr="005D0F07" w:rsidRDefault="005D0F07" w:rsidP="005D0F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5D0F07">
              <w:rPr>
                <w:rFonts w:ascii="Calibri" w:hAnsi="Calibri"/>
                <w:i w:val="0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F07" w:rsidRPr="005D0F07" w:rsidRDefault="005D0F07" w:rsidP="005D0F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5D0F07">
              <w:rPr>
                <w:rFonts w:ascii="Calibri" w:hAnsi="Calibri"/>
                <w:i w:val="0"/>
                <w:color w:val="000000"/>
                <w:sz w:val="22"/>
                <w:szCs w:val="22"/>
              </w:rPr>
              <w:t>0,83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0F07" w:rsidRPr="005D0F07" w:rsidRDefault="005D0F07" w:rsidP="005D0F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5D0F07">
              <w:rPr>
                <w:rFonts w:ascii="Calibri" w:hAnsi="Calibri"/>
                <w:i w:val="0"/>
                <w:color w:val="000000"/>
                <w:sz w:val="22"/>
                <w:szCs w:val="22"/>
              </w:rPr>
              <w:t>415</w:t>
            </w:r>
          </w:p>
        </w:tc>
      </w:tr>
      <w:tr w:rsidR="005D0F07" w:rsidRPr="005D0F07" w:rsidTr="005D0F07">
        <w:trPr>
          <w:trHeight w:val="300"/>
        </w:trPr>
        <w:tc>
          <w:tcPr>
            <w:tcW w:w="1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F07" w:rsidRPr="005D0F07" w:rsidRDefault="005D0F07" w:rsidP="005D0F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5D0F07">
              <w:rPr>
                <w:rFonts w:ascii="Calibri" w:hAnsi="Calibri"/>
                <w:i w:val="0"/>
                <w:color w:val="000000"/>
                <w:sz w:val="22"/>
                <w:szCs w:val="22"/>
              </w:rPr>
              <w:t>&lt;1800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F07" w:rsidRPr="005D0F07" w:rsidRDefault="005D0F07" w:rsidP="005D0F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5D0F07">
              <w:rPr>
                <w:rFonts w:ascii="Calibri" w:hAnsi="Calibri"/>
                <w:i w:val="0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F07" w:rsidRPr="005D0F07" w:rsidRDefault="005D0F07" w:rsidP="005D0F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5D0F07">
              <w:rPr>
                <w:rFonts w:ascii="Calibri" w:hAnsi="Calibri"/>
                <w:i w:val="0"/>
                <w:color w:val="000000"/>
                <w:sz w:val="22"/>
                <w:szCs w:val="22"/>
              </w:rPr>
              <w:t>0,66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0F07" w:rsidRPr="005D0F07" w:rsidRDefault="005D0F07" w:rsidP="005D0F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5D0F07">
              <w:rPr>
                <w:rFonts w:ascii="Calibri" w:hAnsi="Calibri"/>
                <w:i w:val="0"/>
                <w:color w:val="000000"/>
                <w:sz w:val="22"/>
                <w:szCs w:val="22"/>
              </w:rPr>
              <w:t>660</w:t>
            </w:r>
          </w:p>
        </w:tc>
      </w:tr>
      <w:tr w:rsidR="005D0F07" w:rsidRPr="005D0F07" w:rsidTr="005D0F07">
        <w:trPr>
          <w:trHeight w:val="315"/>
        </w:trPr>
        <w:tc>
          <w:tcPr>
            <w:tcW w:w="10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F07" w:rsidRPr="005D0F07" w:rsidRDefault="005D0F07" w:rsidP="005D0F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5D0F07">
              <w:rPr>
                <w:rFonts w:ascii="Calibri" w:hAnsi="Calibri"/>
                <w:i w:val="0"/>
                <w:color w:val="000000"/>
                <w:sz w:val="22"/>
                <w:szCs w:val="22"/>
              </w:rPr>
              <w:t>&gt;1800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F07" w:rsidRPr="005D0F07" w:rsidRDefault="005D0F07" w:rsidP="005D0F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5D0F07">
              <w:rPr>
                <w:rFonts w:ascii="Calibri" w:hAnsi="Calibri"/>
                <w:i w:val="0"/>
                <w:color w:val="000000"/>
                <w:sz w:val="22"/>
                <w:szCs w:val="22"/>
              </w:rPr>
              <w:t>14600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F07" w:rsidRPr="005D0F07" w:rsidRDefault="005D0F07" w:rsidP="005D0F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5D0F07">
              <w:rPr>
                <w:rFonts w:ascii="Calibri" w:hAnsi="Calibri"/>
                <w:i w:val="0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0F07" w:rsidRPr="005D0F07" w:rsidRDefault="005D0F07" w:rsidP="005D0F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5D0F07">
              <w:rPr>
                <w:rFonts w:ascii="Calibri" w:hAnsi="Calibri"/>
                <w:i w:val="0"/>
                <w:color w:val="000000"/>
                <w:sz w:val="22"/>
                <w:szCs w:val="22"/>
              </w:rPr>
              <w:t>7300</w:t>
            </w:r>
          </w:p>
        </w:tc>
      </w:tr>
      <w:tr w:rsidR="005D0F07" w:rsidRPr="005D0F07" w:rsidTr="005D0F07">
        <w:trPr>
          <w:trHeight w:val="315"/>
        </w:trPr>
        <w:tc>
          <w:tcPr>
            <w:tcW w:w="20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0F07" w:rsidRPr="005D0F07" w:rsidRDefault="005D0F07" w:rsidP="005D0F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5D0F07">
              <w:rPr>
                <w:rFonts w:ascii="Calibri" w:hAnsi="Calibri"/>
                <w:i w:val="0"/>
                <w:color w:val="000000"/>
                <w:sz w:val="22"/>
                <w:szCs w:val="22"/>
              </w:rPr>
              <w:t>ÁREA CONSIDERADA</w:t>
            </w:r>
          </w:p>
        </w:tc>
        <w:tc>
          <w:tcPr>
            <w:tcW w:w="21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0F07" w:rsidRPr="005D0F07" w:rsidRDefault="005D0F07" w:rsidP="005D0F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5D0F07">
              <w:rPr>
                <w:rFonts w:ascii="Calibri" w:hAnsi="Calibri"/>
                <w:i w:val="0"/>
                <w:color w:val="000000"/>
                <w:sz w:val="22"/>
                <w:szCs w:val="22"/>
              </w:rPr>
              <w:t>ÁREA EFETIVA</w:t>
            </w:r>
          </w:p>
        </w:tc>
      </w:tr>
      <w:tr w:rsidR="005D0F07" w:rsidRPr="005D0F07" w:rsidTr="005D0F07">
        <w:trPr>
          <w:trHeight w:val="315"/>
        </w:trPr>
        <w:tc>
          <w:tcPr>
            <w:tcW w:w="207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0F07" w:rsidRPr="005D0F07" w:rsidRDefault="005D0F07" w:rsidP="005D0F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5D0F07">
              <w:rPr>
                <w:rFonts w:ascii="Calibri" w:hAnsi="Calibri"/>
                <w:i w:val="0"/>
                <w:color w:val="000000"/>
                <w:sz w:val="22"/>
                <w:szCs w:val="22"/>
              </w:rPr>
              <w:t>16400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:rsidR="005D0F07" w:rsidRPr="005D0F07" w:rsidRDefault="005D0F07" w:rsidP="005D0F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5D0F07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8675</w:t>
            </w:r>
          </w:p>
        </w:tc>
      </w:tr>
    </w:tbl>
    <w:p w:rsidR="005D0F07" w:rsidRPr="00430FA8" w:rsidRDefault="005D0F07" w:rsidP="001C2A3E">
      <w:pPr>
        <w:tabs>
          <w:tab w:val="left" w:pos="565"/>
          <w:tab w:val="left" w:pos="1129"/>
          <w:tab w:val="left" w:pos="1699"/>
          <w:tab w:val="left" w:pos="2263"/>
          <w:tab w:val="left" w:pos="2833"/>
          <w:tab w:val="left" w:pos="3397"/>
          <w:tab w:val="left" w:pos="3967"/>
          <w:tab w:val="left" w:pos="4531"/>
          <w:tab w:val="left" w:pos="5101"/>
          <w:tab w:val="left" w:pos="5665"/>
          <w:tab w:val="left" w:pos="6235"/>
          <w:tab w:val="left" w:pos="6799"/>
          <w:tab w:val="left" w:pos="7369"/>
          <w:tab w:val="left" w:pos="7933"/>
          <w:tab w:val="left" w:pos="8503"/>
          <w:tab w:val="left" w:pos="9067"/>
          <w:tab w:val="left" w:pos="9637"/>
          <w:tab w:val="left" w:pos="10201"/>
          <w:tab w:val="left" w:pos="10771"/>
          <w:tab w:val="left" w:pos="11335"/>
          <w:tab w:val="left" w:pos="11905"/>
          <w:tab w:val="left" w:pos="12469"/>
          <w:tab w:val="left" w:pos="13039"/>
          <w:tab w:val="left" w:pos="13603"/>
          <w:tab w:val="left" w:pos="14167"/>
          <w:tab w:val="left" w:pos="14737"/>
          <w:tab w:val="left" w:pos="15301"/>
          <w:tab w:val="left" w:pos="15871"/>
          <w:tab w:val="left" w:pos="16435"/>
          <w:tab w:val="left" w:pos="17005"/>
          <w:tab w:val="left" w:pos="17569"/>
          <w:tab w:val="left" w:pos="18139"/>
          <w:tab w:val="left" w:pos="18703"/>
          <w:tab w:val="left" w:pos="19273"/>
          <w:tab w:val="left" w:pos="19837"/>
          <w:tab w:val="left" w:pos="20407"/>
          <w:tab w:val="left" w:pos="20971"/>
          <w:tab w:val="left" w:pos="21541"/>
          <w:tab w:val="left" w:pos="22105"/>
          <w:tab w:val="left" w:pos="22675"/>
        </w:tabs>
        <w:jc w:val="both"/>
        <w:rPr>
          <w:rFonts w:cs="Arial"/>
          <w:i w:val="0"/>
        </w:rPr>
      </w:pPr>
    </w:p>
    <w:p w:rsidR="00FB6B2F" w:rsidRPr="00430FA8" w:rsidRDefault="00FB6B2F" w:rsidP="001C2A3E">
      <w:pPr>
        <w:jc w:val="both"/>
        <w:rPr>
          <w:rFonts w:cs="Arial"/>
          <w:i w:val="0"/>
        </w:rPr>
      </w:pPr>
    </w:p>
    <w:p w:rsidR="001C2A3E" w:rsidRPr="00430FA8" w:rsidRDefault="001C2A3E" w:rsidP="003B3FB1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 w:rsidRPr="00430FA8">
        <w:rPr>
          <w:b/>
          <w:i w:val="0"/>
          <w:sz w:val="32"/>
          <w:szCs w:val="32"/>
        </w:rPr>
        <w:t>4</w:t>
      </w:r>
      <w:r w:rsidRPr="00430FA8">
        <w:rPr>
          <w:b/>
          <w:i w:val="0"/>
          <w:sz w:val="32"/>
          <w:szCs w:val="32"/>
        </w:rPr>
        <w:tab/>
      </w:r>
      <w:r w:rsidR="00ED0C2D">
        <w:rPr>
          <w:b/>
          <w:i w:val="0"/>
          <w:sz w:val="32"/>
          <w:szCs w:val="32"/>
        </w:rPr>
        <w:t>Cálculo do BDI</w:t>
      </w:r>
    </w:p>
    <w:p w:rsidR="001C2A3E" w:rsidRPr="00430FA8" w:rsidRDefault="001C2A3E" w:rsidP="001C2A3E">
      <w:pPr>
        <w:jc w:val="both"/>
        <w:rPr>
          <w:rFonts w:cs="Arial"/>
          <w:i w:val="0"/>
        </w:rPr>
      </w:pPr>
    </w:p>
    <w:p w:rsidR="001C2A3E" w:rsidRPr="00430FA8" w:rsidRDefault="00765160" w:rsidP="00765160">
      <w:pPr>
        <w:ind w:left="851" w:hanging="851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4.1</w:t>
      </w:r>
      <w:r w:rsidRPr="00430FA8">
        <w:rPr>
          <w:rFonts w:cs="Arial"/>
          <w:b/>
          <w:i w:val="0"/>
          <w:sz w:val="24"/>
          <w:szCs w:val="24"/>
        </w:rPr>
        <w:tab/>
      </w:r>
      <w:r w:rsidR="00ED0C2D">
        <w:rPr>
          <w:rFonts w:cs="Arial"/>
          <w:b/>
          <w:i w:val="0"/>
          <w:sz w:val="24"/>
          <w:szCs w:val="24"/>
        </w:rPr>
        <w:t>Referência Normativa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ind w:left="1429"/>
        <w:jc w:val="both"/>
        <w:rPr>
          <w:rFonts w:cs="Arial"/>
          <w:i w:val="0"/>
        </w:rPr>
      </w:pPr>
    </w:p>
    <w:p w:rsidR="001C2A3E" w:rsidRPr="00430FA8" w:rsidRDefault="001C2A3E" w:rsidP="00ED0C2D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</w:r>
      <w:r w:rsidR="00ED0C2D">
        <w:rPr>
          <w:rFonts w:cs="Arial"/>
          <w:i w:val="0"/>
        </w:rPr>
        <w:t>Os parâmetros para as taxas do BDI consideradas no projeto estão de acordo com as t</w:t>
      </w:r>
      <w:r w:rsidR="005B31E0">
        <w:rPr>
          <w:rFonts w:cs="Arial"/>
          <w:i w:val="0"/>
        </w:rPr>
        <w:t>abelas do acordão 2.369/2011, do</w:t>
      </w:r>
      <w:r w:rsidR="00ED0C2D">
        <w:rPr>
          <w:rFonts w:cs="Arial"/>
          <w:i w:val="0"/>
        </w:rPr>
        <w:t xml:space="preserve"> 325/2007</w:t>
      </w:r>
      <w:r w:rsidR="005B31E0">
        <w:rPr>
          <w:rFonts w:cs="Arial"/>
          <w:i w:val="0"/>
        </w:rPr>
        <w:t xml:space="preserve"> e do 2.622/2013 do</w:t>
      </w:r>
      <w:r w:rsidR="00ED0C2D">
        <w:rPr>
          <w:rFonts w:cs="Arial"/>
          <w:i w:val="0"/>
        </w:rPr>
        <w:t xml:space="preserve"> Tribunal de Contas da União –TCU.</w:t>
      </w:r>
    </w:p>
    <w:p w:rsidR="001C2A3E" w:rsidRPr="00430FA8" w:rsidRDefault="001C2A3E" w:rsidP="001C2A3E">
      <w:pPr>
        <w:tabs>
          <w:tab w:val="left" w:pos="644"/>
          <w:tab w:val="left" w:pos="1129"/>
        </w:tabs>
        <w:suppressAutoHyphens/>
        <w:jc w:val="both"/>
        <w:rPr>
          <w:rFonts w:cs="Arial"/>
          <w:i w:val="0"/>
        </w:rPr>
      </w:pPr>
    </w:p>
    <w:p w:rsidR="001C2A3E" w:rsidRPr="00430FA8" w:rsidRDefault="00765160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 </w:t>
      </w:r>
      <w:r w:rsidRPr="00430FA8">
        <w:rPr>
          <w:rFonts w:cs="Arial"/>
          <w:b/>
          <w:i w:val="0"/>
          <w:sz w:val="24"/>
          <w:szCs w:val="24"/>
        </w:rPr>
        <w:tab/>
      </w:r>
      <w:r w:rsidR="007E38F7">
        <w:rPr>
          <w:rFonts w:cs="Arial"/>
          <w:b/>
          <w:i w:val="0"/>
          <w:sz w:val="24"/>
          <w:szCs w:val="24"/>
        </w:rPr>
        <w:t>Administração Central (5,4</w:t>
      </w:r>
      <w:r w:rsidR="004C080C">
        <w:rPr>
          <w:rFonts w:cs="Arial"/>
          <w:b/>
          <w:i w:val="0"/>
          <w:sz w:val="24"/>
          <w:szCs w:val="24"/>
        </w:rPr>
        <w:t>0</w:t>
      </w:r>
      <w:r w:rsidR="00ED0C2D">
        <w:rPr>
          <w:rFonts w:cs="Arial"/>
          <w:b/>
          <w:i w:val="0"/>
          <w:sz w:val="24"/>
          <w:szCs w:val="24"/>
        </w:rPr>
        <w:t>%)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ED0C2D" w:rsidRPr="00ED0C2D" w:rsidRDefault="00ED0C2D" w:rsidP="00ED0C2D">
      <w:pPr>
        <w:ind w:firstLine="720"/>
        <w:jc w:val="both"/>
        <w:rPr>
          <w:rFonts w:cs="Arial"/>
          <w:i w:val="0"/>
        </w:rPr>
      </w:pPr>
      <w:r w:rsidRPr="00ED0C2D">
        <w:rPr>
          <w:rFonts w:cs="Arial"/>
          <w:i w:val="0"/>
        </w:rPr>
        <w:t xml:space="preserve">A </w:t>
      </w:r>
      <w:r w:rsidR="004C080C">
        <w:rPr>
          <w:rFonts w:cs="Arial"/>
          <w:i w:val="0"/>
        </w:rPr>
        <w:t xml:space="preserve">taxa de </w:t>
      </w:r>
      <w:r w:rsidRPr="00ED0C2D">
        <w:rPr>
          <w:rFonts w:cs="Arial"/>
          <w:i w:val="0"/>
        </w:rPr>
        <w:t>administração central de uma empresa</w:t>
      </w:r>
      <w:r w:rsidR="004C080C">
        <w:rPr>
          <w:rFonts w:cs="Arial"/>
          <w:i w:val="0"/>
        </w:rPr>
        <w:t xml:space="preserve"> corresponde aos gastos com atividades com a administraç</w:t>
      </w:r>
      <w:r w:rsidR="006E7FE5">
        <w:rPr>
          <w:rFonts w:cs="Arial"/>
          <w:i w:val="0"/>
        </w:rPr>
        <w:t>ão da empresa</w:t>
      </w:r>
      <w:r w:rsidR="004C080C">
        <w:rPr>
          <w:rFonts w:cs="Arial"/>
          <w:i w:val="0"/>
        </w:rPr>
        <w:t>, incluindo áreas administrativas, financeiras, contábeis, de suprimentos, de recursos humanos.</w:t>
      </w:r>
      <w:r w:rsidRPr="00ED0C2D">
        <w:rPr>
          <w:rFonts w:cs="Arial"/>
          <w:i w:val="0"/>
        </w:rPr>
        <w:t xml:space="preserve"> </w:t>
      </w:r>
      <w:r w:rsidR="004C080C">
        <w:rPr>
          <w:rFonts w:cs="Arial"/>
          <w:i w:val="0"/>
        </w:rPr>
        <w:t>Os serviços de administração central inclui planejamento consultoria, controle de qualidade, suporte aos contratos de construção.</w:t>
      </w:r>
    </w:p>
    <w:p w:rsidR="00ED0C2D" w:rsidRPr="00ED0C2D" w:rsidRDefault="00ED0C2D" w:rsidP="00ED0C2D">
      <w:pPr>
        <w:jc w:val="both"/>
        <w:rPr>
          <w:rFonts w:cs="Arial"/>
          <w:i w:val="0"/>
        </w:rPr>
      </w:pPr>
    </w:p>
    <w:p w:rsidR="00ED0C2D" w:rsidRPr="00ED0C2D" w:rsidRDefault="004C080C" w:rsidP="00ED0C2D">
      <w:pPr>
        <w:ind w:firstLine="720"/>
        <w:jc w:val="both"/>
        <w:rPr>
          <w:rFonts w:cs="Arial"/>
          <w:i w:val="0"/>
        </w:rPr>
      </w:pPr>
      <w:r>
        <w:rPr>
          <w:rFonts w:cs="Arial"/>
          <w:i w:val="0"/>
        </w:rPr>
        <w:t>Foi adota</w:t>
      </w:r>
      <w:r w:rsidR="007E38F7">
        <w:rPr>
          <w:rFonts w:cs="Arial"/>
          <w:i w:val="0"/>
        </w:rPr>
        <w:t>do uma taxa de cinco e quatro décimos por cento (5,4</w:t>
      </w:r>
      <w:r>
        <w:rPr>
          <w:rFonts w:cs="Arial"/>
          <w:i w:val="0"/>
        </w:rPr>
        <w:t>0%) para a taxa de administração central.</w:t>
      </w:r>
    </w:p>
    <w:p w:rsidR="00250CA3" w:rsidRPr="00430FA8" w:rsidRDefault="00250CA3" w:rsidP="001C2A3E">
      <w:pPr>
        <w:jc w:val="both"/>
        <w:rPr>
          <w:rFonts w:cs="Arial"/>
          <w:i w:val="0"/>
        </w:rPr>
      </w:pPr>
    </w:p>
    <w:p w:rsidR="001C2A3E" w:rsidRPr="00430FA8" w:rsidRDefault="00B31DEE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 </w:t>
      </w:r>
      <w:r w:rsidR="00765160" w:rsidRPr="00430FA8">
        <w:rPr>
          <w:rFonts w:cs="Arial"/>
          <w:b/>
          <w:i w:val="0"/>
          <w:sz w:val="24"/>
          <w:szCs w:val="24"/>
        </w:rPr>
        <w:tab/>
      </w:r>
      <w:r w:rsidR="00ED0C2D">
        <w:rPr>
          <w:rFonts w:cs="Arial"/>
          <w:b/>
          <w:i w:val="0"/>
          <w:sz w:val="24"/>
          <w:szCs w:val="24"/>
        </w:rPr>
        <w:t>Despesas Financeiras</w:t>
      </w:r>
      <w:r w:rsidR="00F91F7C">
        <w:rPr>
          <w:rFonts w:cs="Arial"/>
          <w:b/>
          <w:i w:val="0"/>
          <w:sz w:val="24"/>
          <w:szCs w:val="24"/>
        </w:rPr>
        <w:t xml:space="preserve"> (1,40</w:t>
      </w:r>
      <w:r w:rsidR="00EF0F8B">
        <w:rPr>
          <w:rFonts w:cs="Arial"/>
          <w:b/>
          <w:i w:val="0"/>
          <w:sz w:val="24"/>
          <w:szCs w:val="24"/>
        </w:rPr>
        <w:t>%)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b/>
          <w:i w:val="0"/>
        </w:rPr>
      </w:pPr>
    </w:p>
    <w:p w:rsidR="001C2A3E" w:rsidRDefault="001C2A3E" w:rsidP="002D334D">
      <w:pPr>
        <w:jc w:val="both"/>
        <w:rPr>
          <w:rFonts w:cs="Arial"/>
          <w:i w:val="0"/>
        </w:rPr>
      </w:pPr>
      <w:r w:rsidRPr="00430FA8">
        <w:rPr>
          <w:rFonts w:cs="Arial"/>
          <w:b/>
          <w:i w:val="0"/>
        </w:rPr>
        <w:tab/>
      </w:r>
      <w:r w:rsidR="0015132F">
        <w:rPr>
          <w:rFonts w:cs="Arial"/>
          <w:i w:val="0"/>
        </w:rPr>
        <w:t>Despesas financeiras são gastos relacionados ao custo do capital decorrente da necessidade de financiamento exigida pe</w:t>
      </w:r>
      <w:r w:rsidR="00D8779F">
        <w:rPr>
          <w:rFonts w:cs="Arial"/>
          <w:i w:val="0"/>
        </w:rPr>
        <w:t>lo fluxo de caixa da obra, sendo correspondente à perda monetária decorrente da defasagem, devido à desvalorização da moeda, entre a data do desembolso e a data do recebimento dos serviços prestados.</w:t>
      </w:r>
    </w:p>
    <w:p w:rsidR="00D8779F" w:rsidRDefault="00D8779F" w:rsidP="002D334D">
      <w:pPr>
        <w:jc w:val="both"/>
        <w:rPr>
          <w:rFonts w:cs="Arial"/>
          <w:i w:val="0"/>
        </w:rPr>
      </w:pPr>
    </w:p>
    <w:p w:rsidR="00D8779F" w:rsidRPr="00430FA8" w:rsidRDefault="00D8779F" w:rsidP="002D334D">
      <w:pPr>
        <w:jc w:val="both"/>
        <w:rPr>
          <w:rFonts w:cs="Arial"/>
          <w:i w:val="0"/>
        </w:rPr>
      </w:pPr>
      <w:r>
        <w:rPr>
          <w:rFonts w:cs="Arial"/>
          <w:i w:val="0"/>
        </w:rPr>
        <w:tab/>
        <w:t>Nas obras públicas de engenharia, as empresas são obrigadas a possuírem recursos financeiros para executar o serviço até que a etapa seja conclu</w:t>
      </w:r>
      <w:r w:rsidR="007F5A04">
        <w:rPr>
          <w:rFonts w:cs="Arial"/>
          <w:i w:val="0"/>
        </w:rPr>
        <w:t>ída e seja percebido</w:t>
      </w:r>
      <w:r>
        <w:rPr>
          <w:rFonts w:cs="Arial"/>
          <w:i w:val="0"/>
        </w:rPr>
        <w:t xml:space="preserve"> o valor corresponde a fase executada. Para se assegurar o equilíbrio financeiro, deve-se acrescentar um percentual que supra a desvalorização monetária</w:t>
      </w:r>
      <w:r w:rsidR="007F5A04">
        <w:rPr>
          <w:rFonts w:cs="Arial"/>
          <w:i w:val="0"/>
        </w:rPr>
        <w:t xml:space="preserve"> por meio de um valor monetário</w:t>
      </w:r>
      <w:r>
        <w:rPr>
          <w:rFonts w:cs="Arial"/>
          <w:i w:val="0"/>
        </w:rPr>
        <w:t xml:space="preserve"> </w:t>
      </w:r>
      <w:r w:rsidR="004A0CD6">
        <w:rPr>
          <w:rFonts w:cs="Arial"/>
          <w:i w:val="0"/>
        </w:rPr>
        <w:t>(</w:t>
      </w:r>
      <w:r>
        <w:rPr>
          <w:rFonts w:cs="Arial"/>
          <w:i w:val="0"/>
        </w:rPr>
        <w:t>pode ser a taxa SELIC</w:t>
      </w:r>
      <w:r w:rsidR="004A0CD6">
        <w:rPr>
          <w:rFonts w:cs="Arial"/>
          <w:i w:val="0"/>
        </w:rPr>
        <w:t>)</w:t>
      </w:r>
      <w:r w:rsidR="007F5A04">
        <w:rPr>
          <w:rFonts w:cs="Arial"/>
          <w:i w:val="0"/>
        </w:rPr>
        <w:t xml:space="preserve"> e pelo</w:t>
      </w:r>
      <w:r>
        <w:rPr>
          <w:rFonts w:cs="Arial"/>
          <w:i w:val="0"/>
        </w:rPr>
        <w:t xml:space="preserve"> tempo de execução do serviço.</w:t>
      </w:r>
    </w:p>
    <w:p w:rsidR="000633F6" w:rsidRDefault="000633F6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D8779F" w:rsidRDefault="00D8779F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  <w:r>
        <w:rPr>
          <w:rFonts w:cs="Arial"/>
          <w:i w:val="0"/>
        </w:rPr>
        <w:tab/>
      </w:r>
      <w:r w:rsidR="00EF0F8B">
        <w:rPr>
          <w:rFonts w:cs="Arial"/>
          <w:i w:val="0"/>
        </w:rPr>
        <w:t>Foi adota</w:t>
      </w:r>
      <w:r w:rsidR="00F91F7C">
        <w:rPr>
          <w:rFonts w:cs="Arial"/>
          <w:i w:val="0"/>
        </w:rPr>
        <w:t>do um valor de 1,04% (um e quatro décimos</w:t>
      </w:r>
      <w:r w:rsidR="00EF0F8B">
        <w:rPr>
          <w:rFonts w:cs="Arial"/>
          <w:i w:val="0"/>
        </w:rPr>
        <w:t xml:space="preserve"> por cento) para o parâmetro relativo a despesas financeiras.</w:t>
      </w:r>
    </w:p>
    <w:p w:rsidR="00D8779F" w:rsidRPr="00430FA8" w:rsidRDefault="00D8779F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67755" w:rsidRPr="00430FA8" w:rsidRDefault="00B31DEE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 </w:t>
      </w:r>
      <w:r w:rsidR="00765160" w:rsidRPr="00430FA8">
        <w:rPr>
          <w:rFonts w:cs="Arial"/>
          <w:b/>
          <w:i w:val="0"/>
          <w:sz w:val="24"/>
          <w:szCs w:val="24"/>
        </w:rPr>
        <w:tab/>
      </w:r>
      <w:r w:rsidR="00ED0C2D">
        <w:rPr>
          <w:rFonts w:cs="Arial"/>
          <w:b/>
          <w:i w:val="0"/>
          <w:sz w:val="24"/>
          <w:szCs w:val="24"/>
        </w:rPr>
        <w:t>Seguros, Riscos e Garantias</w:t>
      </w:r>
      <w:r w:rsidR="00F91F7C">
        <w:rPr>
          <w:rFonts w:cs="Arial"/>
          <w:b/>
          <w:i w:val="0"/>
          <w:sz w:val="24"/>
          <w:szCs w:val="24"/>
        </w:rPr>
        <w:t xml:space="preserve"> (1,9</w:t>
      </w:r>
      <w:r w:rsidR="004C080C">
        <w:rPr>
          <w:rFonts w:cs="Arial"/>
          <w:b/>
          <w:i w:val="0"/>
          <w:sz w:val="24"/>
          <w:szCs w:val="24"/>
        </w:rPr>
        <w:t>0%)</w:t>
      </w:r>
    </w:p>
    <w:p w:rsidR="00167755" w:rsidRPr="00430FA8" w:rsidRDefault="00167755" w:rsidP="00167755">
      <w:pPr>
        <w:tabs>
          <w:tab w:val="left" w:pos="644"/>
          <w:tab w:val="left" w:pos="1135"/>
        </w:tabs>
        <w:suppressAutoHyphens/>
        <w:jc w:val="both"/>
        <w:rPr>
          <w:rFonts w:cs="Arial"/>
          <w:b/>
          <w:i w:val="0"/>
        </w:rPr>
      </w:pPr>
    </w:p>
    <w:p w:rsidR="00527973" w:rsidRDefault="00167755" w:rsidP="004C080C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b/>
          <w:i w:val="0"/>
        </w:rPr>
        <w:lastRenderedPageBreak/>
        <w:tab/>
      </w:r>
      <w:r w:rsidR="004C080C">
        <w:rPr>
          <w:rFonts w:cs="Arial"/>
          <w:i w:val="0"/>
        </w:rPr>
        <w:t>No cálculo do BDI, deve-se levar em consideração os seguros, riscos e garantias para não acarretar prejuízos no equilíbrio financeiro da empresa.</w:t>
      </w:r>
    </w:p>
    <w:p w:rsidR="004C080C" w:rsidRDefault="004C080C" w:rsidP="004C080C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4C080C" w:rsidRDefault="004C080C" w:rsidP="004C080C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>
        <w:rPr>
          <w:rFonts w:cs="Arial"/>
          <w:i w:val="0"/>
        </w:rPr>
        <w:tab/>
      </w:r>
      <w:r w:rsidR="004A5FAA">
        <w:rPr>
          <w:rFonts w:cs="Arial"/>
          <w:i w:val="0"/>
        </w:rPr>
        <w:t>Os riscos estão relacionados a eventos ou fatalidades futuras e incertas, oriundos de fontes internas e externas, que podem influenciar nos gastos e no tempo de execução de um serviço de uma empresa. Os riscos mais comuns em obras de engenharia são: de construção, de projeto, de erros de projeto, associados a fatos da administração e caso fortuito ou força maior.</w:t>
      </w:r>
    </w:p>
    <w:p w:rsidR="004A5FAA" w:rsidRDefault="004A5FAA" w:rsidP="004C080C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4A5FAA" w:rsidRDefault="004A5FAA" w:rsidP="004C080C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>
        <w:rPr>
          <w:rFonts w:cs="Arial"/>
          <w:i w:val="0"/>
        </w:rPr>
        <w:tab/>
        <w:t>Embora os riscos de construção e de caso furtuito ou força maior sejam improváveis de ocorrerem em projetos de engenharia, os riscos inerentes a projetos ou associados a fatos da administração são passíveis de ocorrerem neste tipo de serviço.</w:t>
      </w:r>
      <w:r w:rsidR="000171C5">
        <w:rPr>
          <w:rFonts w:cs="Arial"/>
          <w:i w:val="0"/>
        </w:rPr>
        <w:t xml:space="preserve"> Os parâmetros inerentes a riscos </w:t>
      </w:r>
      <w:r w:rsidR="0015132F">
        <w:rPr>
          <w:rFonts w:cs="Arial"/>
          <w:i w:val="0"/>
        </w:rPr>
        <w:t xml:space="preserve">de </w:t>
      </w:r>
      <w:r w:rsidR="000171C5">
        <w:rPr>
          <w:rFonts w:cs="Arial"/>
          <w:i w:val="0"/>
        </w:rPr>
        <w:t>projetos são vedados em caso da existência de aditivos; no entanto, na empreitada por preço global, dificilmente ocorre aditivos.</w:t>
      </w:r>
    </w:p>
    <w:p w:rsidR="004A5FAA" w:rsidRDefault="004A5FAA" w:rsidP="004C080C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4A5FAA" w:rsidRDefault="004A5FAA" w:rsidP="004C080C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>
        <w:rPr>
          <w:rFonts w:cs="Arial"/>
          <w:i w:val="0"/>
        </w:rPr>
        <w:tab/>
      </w:r>
      <w:r w:rsidR="00747998">
        <w:rPr>
          <w:rFonts w:cs="Arial"/>
          <w:i w:val="0"/>
        </w:rPr>
        <w:t>A Garantia é uma estratégia de alocação de riscos, como medida, que visa assegurar o adequado adimplemento do contrato e a facilitar o ressarcimento de possíveis prejuízos a Administração Pública, na hipótese de inexecução do contrato. O contratado pode dar garantia a Administração por meio de fiança bancária ou seguro garantia, sendo um custo</w:t>
      </w:r>
      <w:r w:rsidR="00470D5B">
        <w:rPr>
          <w:rFonts w:cs="Arial"/>
          <w:i w:val="0"/>
        </w:rPr>
        <w:t xml:space="preserve"> que pode ser previsto no BDI.</w:t>
      </w:r>
    </w:p>
    <w:p w:rsidR="00F905E9" w:rsidRDefault="00F905E9" w:rsidP="004C080C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F905E9" w:rsidRDefault="00F905E9" w:rsidP="004C080C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>
        <w:rPr>
          <w:rFonts w:cs="Arial"/>
          <w:i w:val="0"/>
        </w:rPr>
        <w:tab/>
      </w:r>
      <w:r w:rsidR="0015132F">
        <w:rPr>
          <w:rFonts w:cs="Arial"/>
          <w:i w:val="0"/>
        </w:rPr>
        <w:t>Seguro é</w:t>
      </w:r>
      <w:r w:rsidR="00EF0F8B">
        <w:rPr>
          <w:rFonts w:cs="Arial"/>
          <w:i w:val="0"/>
        </w:rPr>
        <w:t xml:space="preserve"> um</w:t>
      </w:r>
      <w:r w:rsidR="0015132F">
        <w:rPr>
          <w:rFonts w:cs="Arial"/>
          <w:i w:val="0"/>
        </w:rPr>
        <w:t xml:space="preserve"> contrato regido entre a empresa contratada</w:t>
      </w:r>
      <w:r w:rsidR="00EF0F8B">
        <w:rPr>
          <w:rFonts w:cs="Arial"/>
          <w:i w:val="0"/>
        </w:rPr>
        <w:t xml:space="preserve"> pela Administração</w:t>
      </w:r>
      <w:r w:rsidR="0015132F">
        <w:rPr>
          <w:rFonts w:cs="Arial"/>
          <w:i w:val="0"/>
        </w:rPr>
        <w:t xml:space="preserve"> e a companhia seguradora, em que o segurador se compromete a reparar danos causados conforme especificado em contrato.</w:t>
      </w:r>
    </w:p>
    <w:p w:rsidR="0015132F" w:rsidRDefault="0015132F" w:rsidP="004C080C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15132F" w:rsidRDefault="0015132F" w:rsidP="004C080C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>
        <w:rPr>
          <w:rFonts w:cs="Arial"/>
          <w:i w:val="0"/>
        </w:rPr>
        <w:tab/>
        <w:t>Os parâmetros correspondentes a seguro, risco e ga</w:t>
      </w:r>
      <w:r w:rsidR="00F91F7C">
        <w:rPr>
          <w:rFonts w:cs="Arial"/>
          <w:i w:val="0"/>
        </w:rPr>
        <w:t>rantia são respectivamente: 0,35%, 1,20% e 0,35</w:t>
      </w:r>
      <w:r>
        <w:rPr>
          <w:rFonts w:cs="Arial"/>
          <w:i w:val="0"/>
        </w:rPr>
        <w:t>%, t</w:t>
      </w:r>
      <w:r w:rsidR="00F91F7C">
        <w:rPr>
          <w:rFonts w:cs="Arial"/>
          <w:i w:val="0"/>
        </w:rPr>
        <w:t>otalizando um total de um e nove</w:t>
      </w:r>
      <w:r>
        <w:rPr>
          <w:rFonts w:cs="Arial"/>
          <w:i w:val="0"/>
        </w:rPr>
        <w:t xml:space="preserve"> décimos p</w:t>
      </w:r>
      <w:r w:rsidR="00F91F7C">
        <w:rPr>
          <w:rFonts w:cs="Arial"/>
          <w:i w:val="0"/>
        </w:rPr>
        <w:t>or cento (1,9</w:t>
      </w:r>
      <w:r>
        <w:rPr>
          <w:rFonts w:cs="Arial"/>
          <w:i w:val="0"/>
        </w:rPr>
        <w:t>0%).</w:t>
      </w:r>
    </w:p>
    <w:p w:rsidR="004A5FAA" w:rsidRPr="00430FA8" w:rsidRDefault="004A5FAA" w:rsidP="004C080C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>
        <w:rPr>
          <w:rFonts w:cs="Arial"/>
          <w:i w:val="0"/>
        </w:rPr>
        <w:tab/>
      </w:r>
    </w:p>
    <w:p w:rsidR="001C2A3E" w:rsidRPr="00430FA8" w:rsidRDefault="001C2A3E" w:rsidP="00EF0F8B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</w:r>
    </w:p>
    <w:p w:rsidR="001C2A3E" w:rsidRPr="00430FA8" w:rsidRDefault="00C21CE5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 </w:t>
      </w:r>
      <w:r w:rsidR="00765160" w:rsidRPr="00430FA8">
        <w:rPr>
          <w:rFonts w:cs="Arial"/>
          <w:b/>
          <w:i w:val="0"/>
          <w:sz w:val="24"/>
          <w:szCs w:val="24"/>
        </w:rPr>
        <w:tab/>
      </w:r>
      <w:r w:rsidR="00ED0C2D">
        <w:rPr>
          <w:rFonts w:cs="Arial"/>
          <w:b/>
          <w:i w:val="0"/>
          <w:sz w:val="24"/>
          <w:szCs w:val="24"/>
        </w:rPr>
        <w:t>Bonificações, Honorários ou Lucro</w:t>
      </w:r>
      <w:r w:rsidR="00F91F7C">
        <w:rPr>
          <w:rFonts w:cs="Arial"/>
          <w:b/>
          <w:i w:val="0"/>
          <w:sz w:val="24"/>
          <w:szCs w:val="24"/>
        </w:rPr>
        <w:t xml:space="preserve"> (8,3</w:t>
      </w:r>
      <w:r w:rsidR="00D54591">
        <w:rPr>
          <w:rFonts w:cs="Arial"/>
          <w:b/>
          <w:i w:val="0"/>
          <w:sz w:val="24"/>
          <w:szCs w:val="24"/>
        </w:rPr>
        <w:t>0%)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ind w:left="1069"/>
        <w:jc w:val="both"/>
        <w:rPr>
          <w:rFonts w:cs="Arial"/>
          <w:i w:val="0"/>
        </w:rPr>
      </w:pPr>
    </w:p>
    <w:p w:rsidR="001C2A3E" w:rsidRDefault="00EF0F8B" w:rsidP="00D4128B">
      <w:pPr>
        <w:ind w:firstLine="851"/>
        <w:jc w:val="both"/>
        <w:rPr>
          <w:rFonts w:cs="Arial"/>
          <w:i w:val="0"/>
        </w:rPr>
      </w:pPr>
      <w:r>
        <w:rPr>
          <w:rFonts w:cs="Arial"/>
          <w:i w:val="0"/>
        </w:rPr>
        <w:t xml:space="preserve">A remuneração, bonificação ou honorários diz respeito a recompensa ou a premiação recebida pela contratada pela prestação do serviço requerido pela Administração. </w:t>
      </w:r>
      <w:r w:rsidR="00D54591">
        <w:rPr>
          <w:rFonts w:cs="Arial"/>
          <w:i w:val="0"/>
        </w:rPr>
        <w:t>O valor orçado do projeto deve estar compatível com os praticados no mercado.</w:t>
      </w:r>
    </w:p>
    <w:p w:rsidR="00D54591" w:rsidRDefault="00D54591" w:rsidP="00D4128B">
      <w:pPr>
        <w:ind w:firstLine="851"/>
        <w:jc w:val="both"/>
        <w:rPr>
          <w:rFonts w:cs="Arial"/>
          <w:i w:val="0"/>
        </w:rPr>
      </w:pPr>
    </w:p>
    <w:p w:rsidR="00D54591" w:rsidRPr="00430FA8" w:rsidRDefault="00D54591" w:rsidP="00D4128B">
      <w:pPr>
        <w:ind w:firstLine="851"/>
        <w:jc w:val="both"/>
        <w:rPr>
          <w:rFonts w:cs="Arial"/>
          <w:i w:val="0"/>
        </w:rPr>
      </w:pPr>
      <w:r>
        <w:rPr>
          <w:rFonts w:cs="Arial"/>
          <w:i w:val="0"/>
        </w:rPr>
        <w:t>Foi adotada uma taxa de luc</w:t>
      </w:r>
      <w:r w:rsidR="00F91F7C">
        <w:rPr>
          <w:rFonts w:cs="Arial"/>
          <w:i w:val="0"/>
        </w:rPr>
        <w:t>ro de oito e três décimos por cento (8,3</w:t>
      </w:r>
      <w:r>
        <w:rPr>
          <w:rFonts w:cs="Arial"/>
          <w:i w:val="0"/>
        </w:rPr>
        <w:t xml:space="preserve">%). Foi escolhida uma taxa alta de lucro, em relação a variação admitida pelo TCU, devido a um baixo valor de custo do serviço. </w:t>
      </w:r>
    </w:p>
    <w:p w:rsidR="00187DFE" w:rsidRPr="00430FA8" w:rsidRDefault="00187DFE" w:rsidP="00FB648D">
      <w:pPr>
        <w:jc w:val="both"/>
        <w:rPr>
          <w:rFonts w:cs="Arial"/>
          <w:i w:val="0"/>
        </w:rPr>
      </w:pPr>
    </w:p>
    <w:p w:rsidR="001C2A3E" w:rsidRPr="00430FA8" w:rsidRDefault="00765160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 </w:t>
      </w:r>
      <w:r w:rsidRPr="00430FA8">
        <w:rPr>
          <w:rFonts w:cs="Arial"/>
          <w:b/>
          <w:i w:val="0"/>
          <w:sz w:val="24"/>
          <w:szCs w:val="24"/>
        </w:rPr>
        <w:tab/>
      </w:r>
      <w:r w:rsidR="00ED0C2D">
        <w:rPr>
          <w:rFonts w:cs="Arial"/>
          <w:b/>
          <w:i w:val="0"/>
          <w:sz w:val="24"/>
          <w:szCs w:val="24"/>
        </w:rPr>
        <w:t>Taxas de Tributos (Impostos)</w:t>
      </w:r>
      <w:r w:rsidR="009A72BE">
        <w:rPr>
          <w:rFonts w:cs="Arial"/>
          <w:b/>
          <w:i w:val="0"/>
          <w:sz w:val="24"/>
          <w:szCs w:val="24"/>
        </w:rPr>
        <w:t xml:space="preserve"> (5,65%)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ind w:left="1069"/>
        <w:jc w:val="both"/>
        <w:rPr>
          <w:rFonts w:cs="Arial"/>
          <w:i w:val="0"/>
        </w:rPr>
      </w:pPr>
    </w:p>
    <w:p w:rsidR="001C2A3E" w:rsidRDefault="00F52266" w:rsidP="001715B3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>
        <w:rPr>
          <w:rFonts w:cs="Arial"/>
          <w:i w:val="0"/>
        </w:rPr>
        <w:t>A taxa de tributos corresponde a arrecadação monetária impostas pelo Governo. O ISS é devido ao município ou ao Distrito Federal, enquanto PIS e o CONFINS é devido a União.</w:t>
      </w:r>
    </w:p>
    <w:p w:rsidR="004154EC" w:rsidRDefault="004154EC" w:rsidP="001715B3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</w:p>
    <w:p w:rsidR="004154EC" w:rsidRDefault="004154EC" w:rsidP="001715B3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>
        <w:rPr>
          <w:rFonts w:cs="Arial"/>
          <w:i w:val="0"/>
        </w:rPr>
        <w:t>O Imposto Sobre Serviço de Qualquer Natureza ISS, no Distrito Federal, é igual a dois por cento (2,00%); enquanto o Programa de Integração Social –PIS e a Contribuição Social para Financiamento da Seguridade Social –COFINS, no regime de incidência cumulativa, é de 0,65% e 3,00% respectivamente. A soma destes tributos é igual a cinco e sessenta e cinco centésimos por cento (5,65%).</w:t>
      </w:r>
    </w:p>
    <w:p w:rsidR="004154EC" w:rsidRDefault="004154EC" w:rsidP="001715B3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</w:p>
    <w:p w:rsidR="004154EC" w:rsidRPr="00430FA8" w:rsidRDefault="004154EC" w:rsidP="001715B3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>
        <w:rPr>
          <w:rFonts w:cs="Arial"/>
          <w:i w:val="0"/>
        </w:rPr>
        <w:t xml:space="preserve">São vedados, no cálculo do BDI, os valores relativos aos tributos IRPJ e CSLL e </w:t>
      </w:r>
      <w:r w:rsidR="007F5A04">
        <w:rPr>
          <w:rFonts w:cs="Arial"/>
          <w:i w:val="0"/>
        </w:rPr>
        <w:t xml:space="preserve">o </w:t>
      </w:r>
      <w:r>
        <w:rPr>
          <w:rFonts w:cs="Arial"/>
          <w:i w:val="0"/>
        </w:rPr>
        <w:t>CPMF foi revogado.</w:t>
      </w:r>
    </w:p>
    <w:p w:rsidR="00D97F5B" w:rsidRPr="00430FA8" w:rsidRDefault="00D97F5B" w:rsidP="00FB648D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Pr="00430FA8" w:rsidRDefault="00765160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 </w:t>
      </w:r>
      <w:r w:rsidR="0090607B" w:rsidRPr="00430FA8">
        <w:rPr>
          <w:rFonts w:cs="Arial"/>
          <w:b/>
          <w:i w:val="0"/>
          <w:sz w:val="24"/>
          <w:szCs w:val="24"/>
        </w:rPr>
        <w:tab/>
      </w:r>
      <w:r w:rsidR="008E0CB0">
        <w:rPr>
          <w:rFonts w:cs="Arial"/>
          <w:b/>
          <w:i w:val="0"/>
          <w:sz w:val="24"/>
          <w:szCs w:val="24"/>
        </w:rPr>
        <w:t>Cálculo do BDI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Default="001C2A3E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</w:r>
      <w:r w:rsidR="004154EC">
        <w:rPr>
          <w:rFonts w:cs="Arial"/>
          <w:i w:val="0"/>
        </w:rPr>
        <w:t xml:space="preserve">O valor do BDI para o projeto em questão foi de vinte e cinco </w:t>
      </w:r>
      <w:r w:rsidR="00F91F7C">
        <w:rPr>
          <w:rFonts w:cs="Arial"/>
          <w:i w:val="0"/>
        </w:rPr>
        <w:t>e um</w:t>
      </w:r>
      <w:r w:rsidR="00EB015A">
        <w:rPr>
          <w:rFonts w:cs="Arial"/>
          <w:i w:val="0"/>
        </w:rPr>
        <w:t xml:space="preserve"> centésimos por cento (</w:t>
      </w:r>
      <w:r w:rsidR="00EB015A" w:rsidRPr="00EB015A">
        <w:rPr>
          <w:rFonts w:cs="Arial"/>
          <w:i w:val="0"/>
          <w:highlight w:val="yellow"/>
        </w:rPr>
        <w:t>25,0</w:t>
      </w:r>
      <w:r w:rsidR="004154EC" w:rsidRPr="00EB015A">
        <w:rPr>
          <w:rFonts w:cs="Arial"/>
          <w:i w:val="0"/>
          <w:highlight w:val="yellow"/>
        </w:rPr>
        <w:t>1%)</w:t>
      </w:r>
      <w:r w:rsidR="004154EC">
        <w:rPr>
          <w:rFonts w:cs="Arial"/>
          <w:i w:val="0"/>
        </w:rPr>
        <w:t xml:space="preserve"> conforme dados da tabela a seguir.</w:t>
      </w:r>
    </w:p>
    <w:p w:rsidR="004154EC" w:rsidRDefault="004154EC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8E0CB0" w:rsidRDefault="008E0CB0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8E0CB0" w:rsidRDefault="008E0CB0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8E0CB0" w:rsidRDefault="008E0CB0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8E0CB0" w:rsidRDefault="008E0CB0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8E0CB0" w:rsidRDefault="008E0CB0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8E0CB0" w:rsidRDefault="008E0CB0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7B4172" w:rsidRDefault="007B4172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7B4172" w:rsidRDefault="007B4172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7B4172" w:rsidRDefault="007B4172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7B4172" w:rsidRDefault="007B4172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7B4172" w:rsidRDefault="007B4172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8E0CB0" w:rsidRDefault="008E0CB0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tbl>
      <w:tblPr>
        <w:tblW w:w="7574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1"/>
        <w:gridCol w:w="1023"/>
        <w:gridCol w:w="351"/>
        <w:gridCol w:w="1968"/>
        <w:gridCol w:w="351"/>
        <w:gridCol w:w="1920"/>
      </w:tblGrid>
      <w:tr w:rsidR="00F91F7C" w:rsidRPr="00F91F7C" w:rsidTr="00F91F7C">
        <w:trPr>
          <w:trHeight w:val="315"/>
        </w:trPr>
        <w:tc>
          <w:tcPr>
            <w:tcW w:w="757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6DCE4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CALCULO DA BONIFICAÇÃO E DESPESAS INDIRETAS</w:t>
            </w:r>
          </w:p>
        </w:tc>
      </w:tr>
      <w:tr w:rsidR="00F91F7C" w:rsidRPr="00F91F7C" w:rsidTr="00F91F7C">
        <w:trPr>
          <w:trHeight w:val="315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SÍMBOLO</w:t>
            </w:r>
          </w:p>
        </w:tc>
        <w:tc>
          <w:tcPr>
            <w:tcW w:w="36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TAXA [%]</w:t>
            </w:r>
          </w:p>
        </w:tc>
      </w:tr>
      <w:tr w:rsidR="00F91F7C" w:rsidRPr="00F91F7C" w:rsidTr="00F91F7C">
        <w:trPr>
          <w:trHeight w:val="300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A</w:t>
            </w:r>
          </w:p>
        </w:tc>
        <w:tc>
          <w:tcPr>
            <w:tcW w:w="369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ADMINISTRAÇÃO CENTRAL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5,40%</w:t>
            </w:r>
          </w:p>
        </w:tc>
      </w:tr>
      <w:tr w:rsidR="00F91F7C" w:rsidRPr="00F91F7C" w:rsidTr="00F91F7C">
        <w:trPr>
          <w:trHeight w:val="300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B</w:t>
            </w:r>
          </w:p>
        </w:tc>
        <w:tc>
          <w:tcPr>
            <w:tcW w:w="3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DESPESAS FINANCEIRAS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1,40%</w:t>
            </w:r>
          </w:p>
        </w:tc>
      </w:tr>
      <w:tr w:rsidR="00F91F7C" w:rsidRPr="00F91F7C" w:rsidTr="00F91F7C">
        <w:trPr>
          <w:trHeight w:val="300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C</w:t>
            </w:r>
          </w:p>
        </w:tc>
        <w:tc>
          <w:tcPr>
            <w:tcW w:w="3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SEGUROS, RISCOS E GARANTIAS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1,90%</w:t>
            </w:r>
          </w:p>
        </w:tc>
      </w:tr>
      <w:tr w:rsidR="00F91F7C" w:rsidRPr="00F91F7C" w:rsidTr="00F91F7C">
        <w:trPr>
          <w:trHeight w:val="300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c1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SEGURO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0,35%</w:t>
            </w:r>
          </w:p>
        </w:tc>
      </w:tr>
      <w:tr w:rsidR="00F91F7C" w:rsidRPr="00F91F7C" w:rsidTr="00F91F7C">
        <w:trPr>
          <w:trHeight w:val="300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c2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RISCO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1,20%</w:t>
            </w:r>
          </w:p>
        </w:tc>
      </w:tr>
      <w:tr w:rsidR="00F91F7C" w:rsidRPr="00F91F7C" w:rsidTr="00F91F7C">
        <w:trPr>
          <w:trHeight w:val="300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c3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GARANTIA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0,35%</w:t>
            </w:r>
          </w:p>
        </w:tc>
      </w:tr>
      <w:tr w:rsidR="00F91F7C" w:rsidRPr="00F91F7C" w:rsidTr="00F91F7C">
        <w:trPr>
          <w:trHeight w:val="300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D</w:t>
            </w:r>
          </w:p>
        </w:tc>
        <w:tc>
          <w:tcPr>
            <w:tcW w:w="3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BONIFICAÇÕES, HONORÁRIOS, LUCRO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8,30%</w:t>
            </w:r>
          </w:p>
        </w:tc>
      </w:tr>
      <w:tr w:rsidR="00F91F7C" w:rsidRPr="00F91F7C" w:rsidTr="00F91F7C">
        <w:trPr>
          <w:trHeight w:val="300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E</w:t>
            </w:r>
          </w:p>
        </w:tc>
        <w:tc>
          <w:tcPr>
            <w:tcW w:w="3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TAXA DE TRIBUTOS (IMPOSTOS)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5,65%</w:t>
            </w:r>
          </w:p>
        </w:tc>
      </w:tr>
      <w:tr w:rsidR="00F91F7C" w:rsidRPr="00F91F7C" w:rsidTr="00F91F7C">
        <w:trPr>
          <w:trHeight w:val="315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e1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PIS/PASEP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0,65%</w:t>
            </w:r>
          </w:p>
        </w:tc>
      </w:tr>
      <w:tr w:rsidR="00F91F7C" w:rsidRPr="00F91F7C" w:rsidTr="00F91F7C">
        <w:trPr>
          <w:trHeight w:val="315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e2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COFINS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3,00%</w:t>
            </w:r>
          </w:p>
        </w:tc>
      </w:tr>
      <w:tr w:rsidR="00F91F7C" w:rsidRPr="00F91F7C" w:rsidTr="00F91F7C">
        <w:trPr>
          <w:trHeight w:val="315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e3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ISS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2,00%</w:t>
            </w:r>
          </w:p>
        </w:tc>
      </w:tr>
      <w:tr w:rsidR="00F91F7C" w:rsidRPr="00F91F7C" w:rsidTr="00F91F7C">
        <w:trPr>
          <w:trHeight w:val="300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e4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CPMF (VETADO)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0,00%</w:t>
            </w:r>
          </w:p>
        </w:tc>
      </w:tr>
      <w:tr w:rsidR="00F91F7C" w:rsidRPr="00F91F7C" w:rsidTr="00F91F7C">
        <w:trPr>
          <w:trHeight w:val="315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BDI</w:t>
            </w:r>
          </w:p>
        </w:tc>
        <w:tc>
          <w:tcPr>
            <w:tcW w:w="369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BONIFICAÇÃO E DESPESAS INDIRETAS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b/>
                <w:bCs/>
                <w:i w:val="0"/>
                <w:color w:val="000000"/>
                <w:sz w:val="22"/>
                <w:szCs w:val="22"/>
              </w:rPr>
              <w:t>25,01%</w:t>
            </w:r>
          </w:p>
        </w:tc>
      </w:tr>
      <w:tr w:rsidR="00F91F7C" w:rsidRPr="00F91F7C" w:rsidTr="00F91F7C">
        <w:trPr>
          <w:trHeight w:val="300"/>
        </w:trPr>
        <w:tc>
          <w:tcPr>
            <w:tcW w:w="19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</w:tr>
      <w:tr w:rsidR="00F91F7C" w:rsidRPr="00F91F7C" w:rsidTr="00F91F7C">
        <w:trPr>
          <w:trHeight w:val="300"/>
        </w:trPr>
        <w:tc>
          <w:tcPr>
            <w:tcW w:w="19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BDI=</w:t>
            </w: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  <w:u w:val="single"/>
              </w:rPr>
              <w:t>(1+A)(1+B)(1+C)(1+D)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</w:tr>
      <w:tr w:rsidR="00F91F7C" w:rsidRPr="00F91F7C" w:rsidTr="00F91F7C">
        <w:trPr>
          <w:trHeight w:val="300"/>
        </w:trPr>
        <w:tc>
          <w:tcPr>
            <w:tcW w:w="19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(1-E)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</w:tr>
      <w:tr w:rsidR="00F91F7C" w:rsidRPr="00F91F7C" w:rsidTr="00F91F7C">
        <w:trPr>
          <w:trHeight w:val="300"/>
        </w:trPr>
        <w:tc>
          <w:tcPr>
            <w:tcW w:w="19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C=c1+c2+c3   E=e1+e2+e3+e4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</w:tr>
      <w:tr w:rsidR="00F91F7C" w:rsidRPr="00F91F7C" w:rsidTr="00F91F7C">
        <w:trPr>
          <w:trHeight w:val="300"/>
        </w:trPr>
        <w:tc>
          <w:tcPr>
            <w:tcW w:w="19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</w:tr>
      <w:tr w:rsidR="00F91F7C" w:rsidRPr="00F91F7C" w:rsidTr="00F91F7C">
        <w:trPr>
          <w:trHeight w:val="300"/>
        </w:trPr>
        <w:tc>
          <w:tcPr>
            <w:tcW w:w="7574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O VALOR DAS VARIÁVEIS DO BDI ESTÁ DE ACORDO COM O</w:t>
            </w:r>
          </w:p>
        </w:tc>
      </w:tr>
      <w:tr w:rsidR="00F91F7C" w:rsidRPr="00F91F7C" w:rsidTr="00F91F7C">
        <w:trPr>
          <w:trHeight w:val="300"/>
        </w:trPr>
        <w:tc>
          <w:tcPr>
            <w:tcW w:w="7574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ACORDÃO NÚMERO 2.369/2011 E O 325/2007 DO TRIBUNAL</w:t>
            </w:r>
          </w:p>
        </w:tc>
      </w:tr>
      <w:tr w:rsidR="00F91F7C" w:rsidRPr="00F91F7C" w:rsidTr="00F91F7C">
        <w:trPr>
          <w:trHeight w:val="300"/>
        </w:trPr>
        <w:tc>
          <w:tcPr>
            <w:tcW w:w="333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DE CONTAS DA UNIÃO -TCU.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</w:tr>
      <w:tr w:rsidR="00F91F7C" w:rsidRPr="00F91F7C" w:rsidTr="00F91F7C">
        <w:trPr>
          <w:trHeight w:val="315"/>
        </w:trPr>
        <w:tc>
          <w:tcPr>
            <w:tcW w:w="19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91F7C" w:rsidRPr="00F91F7C" w:rsidRDefault="00F91F7C" w:rsidP="00F91F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i w:val="0"/>
                <w:color w:val="000000"/>
                <w:sz w:val="22"/>
                <w:szCs w:val="22"/>
              </w:rPr>
            </w:pPr>
            <w:r w:rsidRPr="00F91F7C">
              <w:rPr>
                <w:rFonts w:ascii="Calibri" w:hAnsi="Calibri"/>
                <w:i w:val="0"/>
                <w:color w:val="000000"/>
                <w:sz w:val="22"/>
                <w:szCs w:val="22"/>
              </w:rPr>
              <w:t> </w:t>
            </w:r>
          </w:p>
        </w:tc>
      </w:tr>
    </w:tbl>
    <w:p w:rsidR="004154EC" w:rsidRDefault="004154EC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FB6B2F" w:rsidRPr="00FB6B2F" w:rsidRDefault="00FB6B2F" w:rsidP="00FB6B2F">
      <w:pPr>
        <w:widowControl w:val="0"/>
        <w:pBdr>
          <w:bottom w:val="single" w:sz="6" w:space="1" w:color="auto"/>
        </w:pBdr>
        <w:tabs>
          <w:tab w:val="num" w:pos="1134"/>
        </w:tabs>
        <w:ind w:left="851" w:hanging="851"/>
        <w:jc w:val="both"/>
        <w:rPr>
          <w:b/>
          <w:i w:val="0"/>
          <w:sz w:val="32"/>
          <w:szCs w:val="32"/>
        </w:rPr>
      </w:pPr>
      <w:r w:rsidRPr="00FB6B2F">
        <w:rPr>
          <w:b/>
          <w:i w:val="0"/>
          <w:sz w:val="32"/>
          <w:szCs w:val="32"/>
        </w:rPr>
        <w:t>5 Orçamento da Obra (inclui projeto e BDI)</w:t>
      </w:r>
    </w:p>
    <w:p w:rsidR="00FB6B2F" w:rsidRDefault="00FB6B2F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6B14E5" w:rsidRPr="006B14E5" w:rsidRDefault="006B14E5" w:rsidP="006B14E5">
      <w:p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b/>
          <w:i w:val="0"/>
          <w:sz w:val="24"/>
          <w:szCs w:val="24"/>
        </w:rPr>
      </w:pPr>
      <w:r w:rsidRPr="006B14E5">
        <w:rPr>
          <w:rFonts w:cs="Arial"/>
          <w:b/>
          <w:i w:val="0"/>
          <w:sz w:val="24"/>
          <w:szCs w:val="24"/>
        </w:rPr>
        <w:t>5.1</w:t>
      </w:r>
      <w:r w:rsidRPr="006B14E5">
        <w:rPr>
          <w:rFonts w:cs="Arial"/>
          <w:b/>
          <w:i w:val="0"/>
          <w:sz w:val="24"/>
          <w:szCs w:val="24"/>
        </w:rPr>
        <w:tab/>
        <w:t xml:space="preserve">  Valor Orçado</w:t>
      </w:r>
    </w:p>
    <w:p w:rsidR="006B14E5" w:rsidRDefault="00FB6B2F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>
        <w:rPr>
          <w:rFonts w:cs="Arial"/>
          <w:i w:val="0"/>
        </w:rPr>
        <w:tab/>
      </w:r>
    </w:p>
    <w:p w:rsidR="00FB6B2F" w:rsidRDefault="006B14E5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>
        <w:rPr>
          <w:rFonts w:cs="Arial"/>
          <w:i w:val="0"/>
        </w:rPr>
        <w:tab/>
        <w:t>‘</w:t>
      </w:r>
      <w:r w:rsidR="00FB6B2F">
        <w:rPr>
          <w:rFonts w:cs="Arial"/>
          <w:i w:val="0"/>
        </w:rPr>
        <w:t>O orçamento</w:t>
      </w:r>
      <w:r>
        <w:rPr>
          <w:rFonts w:cs="Arial"/>
          <w:i w:val="0"/>
        </w:rPr>
        <w:t xml:space="preserve"> da obra foi realizado pelo método de composição do SINAPI, que inclui material e mão de obra na sua cotação. De forma suplementar (itens não encontrados no SINAPI), foi realizado cotações com empresas e acrescido o valor da mão de obra do eletricista em conjunto com seu auxiliar relativos a dez dias de serviço. É de responsabilidade da empresa licitante a verificação do valor do orçamento calculado pela administração, não podendo arguir erro ou culpa exclusiva da administração por erros de orçamento.</w:t>
      </w:r>
    </w:p>
    <w:p w:rsidR="006B14E5" w:rsidRDefault="006B14E5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>
        <w:rPr>
          <w:rFonts w:cs="Arial"/>
          <w:i w:val="0"/>
        </w:rPr>
        <w:tab/>
      </w:r>
      <w:r w:rsidRPr="006B14E5">
        <w:rPr>
          <w:rFonts w:cs="Arial"/>
          <w:i w:val="0"/>
          <w:highlight w:val="yellow"/>
        </w:rPr>
        <w:t xml:space="preserve">O valor total da obra incluindo todos os custos (projeto, obra e descarte do material radioativo) foi </w:t>
      </w:r>
      <w:r w:rsidR="005224CC">
        <w:rPr>
          <w:rFonts w:cs="Arial"/>
          <w:i w:val="0"/>
          <w:highlight w:val="yellow"/>
        </w:rPr>
        <w:t>estimado em R$ 77.701,44</w:t>
      </w:r>
      <w:r w:rsidRPr="006B14E5">
        <w:rPr>
          <w:rFonts w:cs="Arial"/>
          <w:i w:val="0"/>
          <w:highlight w:val="yellow"/>
        </w:rPr>
        <w:t xml:space="preserve"> (</w:t>
      </w:r>
      <w:r w:rsidR="005224CC">
        <w:rPr>
          <w:rFonts w:cs="Arial"/>
          <w:i w:val="0"/>
          <w:highlight w:val="yellow"/>
        </w:rPr>
        <w:t>setenta e sete mil setecentos e um reais e quarenta e quatro centavos</w:t>
      </w:r>
      <w:r w:rsidRPr="006B14E5">
        <w:rPr>
          <w:rFonts w:cs="Arial"/>
          <w:i w:val="0"/>
          <w:highlight w:val="yellow"/>
        </w:rPr>
        <w:t>).</w:t>
      </w:r>
    </w:p>
    <w:p w:rsidR="000A014C" w:rsidRPr="006B14E5" w:rsidRDefault="000A014C" w:rsidP="006B14E5">
      <w:p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b/>
          <w:i w:val="0"/>
          <w:sz w:val="24"/>
          <w:szCs w:val="24"/>
        </w:rPr>
      </w:pPr>
    </w:p>
    <w:p w:rsidR="00DC7FF7" w:rsidRDefault="00DC7FF7" w:rsidP="002B0CA6">
      <w:pPr>
        <w:jc w:val="both"/>
        <w:rPr>
          <w:rFonts w:cs="Arial"/>
          <w:i w:val="0"/>
        </w:rPr>
      </w:pPr>
    </w:p>
    <w:p w:rsidR="00DC7FF7" w:rsidRPr="00430FA8" w:rsidRDefault="00DC7FF7" w:rsidP="002B0CA6">
      <w:pPr>
        <w:jc w:val="both"/>
        <w:rPr>
          <w:rFonts w:cs="Arial"/>
          <w:i w:val="0"/>
        </w:rPr>
      </w:pPr>
    </w:p>
    <w:p w:rsidR="002B0CA6" w:rsidRPr="00430FA8" w:rsidRDefault="00FB6B2F" w:rsidP="0048702D">
      <w:pPr>
        <w:widowControl w:val="0"/>
        <w:pBdr>
          <w:bottom w:val="single" w:sz="6" w:space="1" w:color="auto"/>
        </w:pBdr>
        <w:tabs>
          <w:tab w:val="num" w:pos="1134"/>
        </w:tabs>
        <w:ind w:left="851" w:hanging="851"/>
        <w:jc w:val="both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6</w:t>
      </w:r>
      <w:r w:rsidR="002B0CA6" w:rsidRPr="00430FA8">
        <w:rPr>
          <w:b/>
          <w:i w:val="0"/>
          <w:sz w:val="32"/>
          <w:szCs w:val="32"/>
        </w:rPr>
        <w:t xml:space="preserve"> </w:t>
      </w:r>
      <w:r w:rsidR="0048702D" w:rsidRPr="00430FA8">
        <w:rPr>
          <w:b/>
          <w:i w:val="0"/>
          <w:sz w:val="32"/>
          <w:szCs w:val="32"/>
        </w:rPr>
        <w:tab/>
      </w:r>
      <w:r w:rsidR="00F91F7C">
        <w:rPr>
          <w:b/>
          <w:i w:val="0"/>
          <w:sz w:val="32"/>
          <w:szCs w:val="32"/>
        </w:rPr>
        <w:t>ANEXO ACORDÃO</w:t>
      </w:r>
      <w:r w:rsidR="00B170B3">
        <w:rPr>
          <w:b/>
          <w:i w:val="0"/>
          <w:sz w:val="32"/>
          <w:szCs w:val="32"/>
        </w:rPr>
        <w:t xml:space="preserve"> 2622/2013</w:t>
      </w:r>
      <w:r w:rsidR="00F91F7C">
        <w:rPr>
          <w:b/>
          <w:i w:val="0"/>
          <w:sz w:val="32"/>
          <w:szCs w:val="32"/>
        </w:rPr>
        <w:t xml:space="preserve"> DO TCU</w:t>
      </w:r>
    </w:p>
    <w:p w:rsidR="002B0CA6" w:rsidRDefault="002B0CA6" w:rsidP="002B0CA6">
      <w:pPr>
        <w:jc w:val="both"/>
        <w:rPr>
          <w:rFonts w:cs="Arial"/>
          <w:i w:val="0"/>
        </w:rPr>
      </w:pPr>
    </w:p>
    <w:p w:rsidR="00F72592" w:rsidRPr="00430FA8" w:rsidRDefault="00B170B3" w:rsidP="00F72592">
      <w:pPr>
        <w:jc w:val="both"/>
        <w:rPr>
          <w:rFonts w:cs="Arial"/>
        </w:rPr>
      </w:pPr>
      <w:r>
        <w:rPr>
          <w:noProof/>
        </w:rPr>
        <w:drawing>
          <wp:inline distT="0" distB="0" distL="0" distR="0" wp14:anchorId="46A3DD99" wp14:editId="1D29B1DF">
            <wp:extent cx="5760720" cy="2520315"/>
            <wp:effectExtent l="0" t="0" r="0" b="0"/>
            <wp:docPr id="6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20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6A5" w:rsidRDefault="00B170B3" w:rsidP="00FB06A5">
      <w:pPr>
        <w:jc w:val="both"/>
        <w:rPr>
          <w:rFonts w:cs="Arial"/>
          <w:i w:val="0"/>
        </w:rPr>
      </w:pPr>
      <w:r>
        <w:rPr>
          <w:noProof/>
        </w:rPr>
        <w:lastRenderedPageBreak/>
        <w:drawing>
          <wp:inline distT="0" distB="0" distL="0" distR="0" wp14:anchorId="75C63288" wp14:editId="03A1F7E4">
            <wp:extent cx="5760720" cy="3662045"/>
            <wp:effectExtent l="0" t="0" r="0" b="0"/>
            <wp:docPr id="5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6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0B3" w:rsidRDefault="00B170B3" w:rsidP="00FB06A5">
      <w:pPr>
        <w:jc w:val="both"/>
        <w:rPr>
          <w:rFonts w:cs="Arial"/>
          <w:i w:val="0"/>
        </w:rPr>
      </w:pPr>
      <w:r>
        <w:rPr>
          <w:noProof/>
        </w:rPr>
        <w:drawing>
          <wp:inline distT="0" distB="0" distL="0" distR="0" wp14:anchorId="61A958C8" wp14:editId="310778F7">
            <wp:extent cx="5760720" cy="3662045"/>
            <wp:effectExtent l="0" t="0" r="0" b="0"/>
            <wp:docPr id="9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6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0D09" w:rsidRDefault="00B170B3" w:rsidP="00FB06A5">
      <w:pPr>
        <w:jc w:val="both"/>
        <w:rPr>
          <w:rFonts w:cs="Arial"/>
          <w:i w:val="0"/>
        </w:rPr>
      </w:pPr>
      <w:r>
        <w:rPr>
          <w:noProof/>
        </w:rPr>
        <w:lastRenderedPageBreak/>
        <w:drawing>
          <wp:inline distT="0" distB="0" distL="0" distR="0" wp14:anchorId="59BB7098" wp14:editId="53F3560D">
            <wp:extent cx="5760720" cy="1802130"/>
            <wp:effectExtent l="0" t="0" r="0" b="0"/>
            <wp:docPr id="7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m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0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5A04" w:rsidRDefault="007F5A04" w:rsidP="00FB06A5">
      <w:pPr>
        <w:jc w:val="both"/>
        <w:rPr>
          <w:rFonts w:cs="Arial"/>
          <w:i w:val="0"/>
        </w:rPr>
      </w:pPr>
    </w:p>
    <w:p w:rsidR="009F2D13" w:rsidRDefault="009F2D13" w:rsidP="009F2D13">
      <w:pPr>
        <w:ind w:firstLine="851"/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IMPORTANTE: Após a entrega e aprovação final dos projetos executivos, a propriedade intelectual destes pertencerá definitivamente ao Contratante.</w:t>
      </w:r>
    </w:p>
    <w:p w:rsidR="009278EA" w:rsidRDefault="009278EA" w:rsidP="00FB06A5">
      <w:pPr>
        <w:jc w:val="both"/>
        <w:rPr>
          <w:rFonts w:cs="Arial"/>
          <w:i w:val="0"/>
        </w:rPr>
      </w:pPr>
    </w:p>
    <w:p w:rsidR="009F2D13" w:rsidRDefault="009F2D13" w:rsidP="00FB06A5">
      <w:pPr>
        <w:jc w:val="both"/>
        <w:rPr>
          <w:rFonts w:cs="Arial"/>
          <w:i w:val="0"/>
        </w:rPr>
      </w:pPr>
    </w:p>
    <w:p w:rsidR="009F2D13" w:rsidRDefault="009F2D13" w:rsidP="00FB06A5">
      <w:pPr>
        <w:jc w:val="both"/>
        <w:rPr>
          <w:rFonts w:cs="Arial"/>
          <w:i w:val="0"/>
        </w:rPr>
      </w:pPr>
    </w:p>
    <w:p w:rsidR="009F2D13" w:rsidRDefault="009F2D13" w:rsidP="00FB06A5">
      <w:pPr>
        <w:jc w:val="both"/>
        <w:rPr>
          <w:rFonts w:cs="Arial"/>
          <w:i w:val="0"/>
        </w:rPr>
      </w:pPr>
    </w:p>
    <w:p w:rsidR="009F2D13" w:rsidRDefault="009F2D13" w:rsidP="009F2D13">
      <w:pPr>
        <w:rPr>
          <w:rFonts w:cs="Arial"/>
          <w:i w:val="0"/>
        </w:rPr>
      </w:pPr>
    </w:p>
    <w:tbl>
      <w:tblPr>
        <w:tblW w:w="9495" w:type="dxa"/>
        <w:tblLook w:val="04A0" w:firstRow="1" w:lastRow="0" w:firstColumn="1" w:lastColumn="0" w:noHBand="0" w:noVBand="1"/>
      </w:tblPr>
      <w:tblGrid>
        <w:gridCol w:w="9495"/>
      </w:tblGrid>
      <w:tr w:rsidR="009F2D13" w:rsidTr="00CD0AC1">
        <w:tc>
          <w:tcPr>
            <w:tcW w:w="9495" w:type="dxa"/>
          </w:tcPr>
          <w:p w:rsidR="009F2D13" w:rsidRPr="00531BCA" w:rsidRDefault="009F2D13" w:rsidP="00CD0AC1">
            <w:pPr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CELSO GARCIA DE OLIVEIRA</w:t>
            </w:r>
          </w:p>
          <w:p w:rsidR="009F2D13" w:rsidRPr="00DC0D99" w:rsidRDefault="009F2D13" w:rsidP="00CD0AC1">
            <w:pPr>
              <w:jc w:val="center"/>
              <w:rPr>
                <w:i w:val="0"/>
              </w:rPr>
            </w:pPr>
            <w:r>
              <w:t>Engenheiro Eletricista</w:t>
            </w:r>
          </w:p>
          <w:p w:rsidR="009F2D13" w:rsidRPr="00531BCA" w:rsidRDefault="009F2D13" w:rsidP="00CD0AC1">
            <w:pPr>
              <w:jc w:val="center"/>
              <w:rPr>
                <w:i w:val="0"/>
              </w:rPr>
            </w:pPr>
            <w:r w:rsidRPr="00DC0D99">
              <w:t xml:space="preserve">Matrícula </w:t>
            </w:r>
            <w:r>
              <w:t>20007</w:t>
            </w:r>
          </w:p>
        </w:tc>
      </w:tr>
    </w:tbl>
    <w:p w:rsidR="009F2D13" w:rsidRPr="00694BD4" w:rsidRDefault="009F2D13" w:rsidP="00FB06A5">
      <w:pPr>
        <w:jc w:val="both"/>
        <w:rPr>
          <w:rFonts w:cs="Arial"/>
          <w:i w:val="0"/>
        </w:rPr>
      </w:pPr>
    </w:p>
    <w:sectPr w:rsidR="009F2D13" w:rsidRPr="00694BD4" w:rsidSect="00046651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763" w:right="1134" w:bottom="1418" w:left="1701" w:header="1134" w:footer="87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5A7" w:rsidRDefault="001555A7">
      <w:r>
        <w:separator/>
      </w:r>
    </w:p>
  </w:endnote>
  <w:endnote w:type="continuationSeparator" w:id="0">
    <w:p w:rsidR="001555A7" w:rsidRDefault="00155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5A7" w:rsidRPr="00FF4721" w:rsidRDefault="001555A7" w:rsidP="00D2380E">
    <w:pPr>
      <w:pStyle w:val="Rodap"/>
      <w:rPr>
        <w:rFonts w:cs="Arial"/>
        <w:i w:val="0"/>
        <w:sz w:val="16"/>
        <w:szCs w:val="16"/>
        <w:u w:val="single"/>
      </w:rPr>
    </w:pPr>
    <w:r w:rsidRPr="00FF4721">
      <w:rPr>
        <w:rFonts w:cs="Arial"/>
        <w:i w:val="0"/>
        <w:sz w:val="16"/>
        <w:szCs w:val="16"/>
        <w:u w:val="single"/>
      </w:rPr>
      <w:t xml:space="preserve">DEA/CPLAM/DLOG/DPF                                                                                                                                </w:t>
    </w:r>
    <w:r w:rsidR="00FF4721" w:rsidRPr="00FF4721">
      <w:rPr>
        <w:rFonts w:cs="Arial"/>
        <w:i w:val="0"/>
        <w:sz w:val="16"/>
        <w:szCs w:val="16"/>
        <w:u w:val="single"/>
      </w:rPr>
      <w:t>Orça</w:t>
    </w:r>
    <w:r w:rsidR="00FF4721">
      <w:rPr>
        <w:rFonts w:cs="Arial"/>
        <w:i w:val="0"/>
        <w:sz w:val="16"/>
        <w:szCs w:val="16"/>
        <w:u w:val="single"/>
      </w:rPr>
      <w:t>mento e BDI</w:t>
    </w:r>
  </w:p>
  <w:p w:rsidR="001555A7" w:rsidRPr="00FF4721" w:rsidRDefault="001555A7" w:rsidP="00D2380E">
    <w:pPr>
      <w:pStyle w:val="Rodap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5A7" w:rsidRPr="00AE2A5F" w:rsidRDefault="001555A7" w:rsidP="00313D2C">
    <w:pPr>
      <w:pStyle w:val="Rodap"/>
      <w:rPr>
        <w:rFonts w:cs="Arial"/>
        <w:i w:val="0"/>
        <w:sz w:val="16"/>
        <w:szCs w:val="16"/>
        <w:u w:val="single"/>
      </w:rPr>
    </w:pPr>
    <w:r w:rsidRPr="00AE2A5F">
      <w:rPr>
        <w:rFonts w:cs="Arial"/>
        <w:i w:val="0"/>
        <w:sz w:val="16"/>
        <w:szCs w:val="16"/>
        <w:u w:val="single"/>
      </w:rPr>
      <w:t>DE</w:t>
    </w:r>
    <w:r>
      <w:rPr>
        <w:rFonts w:cs="Arial"/>
        <w:i w:val="0"/>
        <w:sz w:val="16"/>
        <w:szCs w:val="16"/>
        <w:u w:val="single"/>
      </w:rPr>
      <w:t>A</w:t>
    </w:r>
    <w:r w:rsidRPr="00AE2A5F">
      <w:rPr>
        <w:rFonts w:cs="Arial"/>
        <w:i w:val="0"/>
        <w:sz w:val="16"/>
        <w:szCs w:val="16"/>
        <w:u w:val="single"/>
      </w:rPr>
      <w:t xml:space="preserve">/CPLAM/DLOG/DPF                    </w:t>
    </w:r>
    <w:r>
      <w:rPr>
        <w:rFonts w:cs="Arial"/>
        <w:i w:val="0"/>
        <w:sz w:val="16"/>
        <w:szCs w:val="16"/>
        <w:u w:val="single"/>
      </w:rPr>
      <w:t xml:space="preserve">                   </w:t>
    </w:r>
    <w:r w:rsidRPr="00AE2A5F">
      <w:rPr>
        <w:rFonts w:cs="Arial"/>
        <w:i w:val="0"/>
        <w:sz w:val="16"/>
        <w:szCs w:val="16"/>
        <w:u w:val="single"/>
      </w:rPr>
      <w:t xml:space="preserve">                                                                                         Especificação Técnica</w:t>
    </w:r>
  </w:p>
  <w:p w:rsidR="001555A7" w:rsidRDefault="001555A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5A7" w:rsidRDefault="001555A7">
      <w:r>
        <w:separator/>
      </w:r>
    </w:p>
  </w:footnote>
  <w:footnote w:type="continuationSeparator" w:id="0">
    <w:p w:rsidR="001555A7" w:rsidRDefault="00155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5A7" w:rsidRPr="00AF04FB" w:rsidRDefault="001555A7" w:rsidP="00AC212F">
    <w:pPr>
      <w:rPr>
        <w:rFonts w:cs="Arial"/>
        <w:i w:val="0"/>
      </w:rPr>
    </w:pPr>
    <w:r>
      <w:rPr>
        <w:rFonts w:cs="Arial"/>
        <w:b/>
        <w:noProof/>
        <w:sz w:val="40"/>
        <w:szCs w:val="40"/>
      </w:rPr>
      <w:drawing>
        <wp:anchor distT="0" distB="0" distL="114300" distR="114300" simplePos="0" relativeHeight="251653632" behindDoc="0" locked="0" layoutInCell="1" allowOverlap="1">
          <wp:simplePos x="0" y="0"/>
          <wp:positionH relativeFrom="column">
            <wp:posOffset>131445</wp:posOffset>
          </wp:positionH>
          <wp:positionV relativeFrom="paragraph">
            <wp:posOffset>93980</wp:posOffset>
          </wp:positionV>
          <wp:extent cx="427990" cy="559435"/>
          <wp:effectExtent l="19050" t="0" r="0" b="0"/>
          <wp:wrapNone/>
          <wp:docPr id="2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Arial"/>
        <w:i w:val="0"/>
        <w:sz w:val="32"/>
        <w:szCs w:val="32"/>
      </w:rPr>
      <w:t xml:space="preserve">  </w:t>
    </w:r>
  </w:p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4483"/>
      <w:gridCol w:w="4448"/>
    </w:tblGrid>
    <w:tr w:rsidR="001555A7" w:rsidRPr="00CC6D53" w:rsidTr="009F2D13">
      <w:trPr>
        <w:trHeight w:val="242"/>
      </w:trPr>
      <w:tc>
        <w:tcPr>
          <w:tcW w:w="4483" w:type="dxa"/>
        </w:tcPr>
        <w:p w:rsidR="001555A7" w:rsidRPr="00CC6D53" w:rsidRDefault="001555A7" w:rsidP="00AC212F">
          <w:pPr>
            <w:ind w:left="885"/>
            <w:jc w:val="both"/>
            <w:rPr>
              <w:rFonts w:cs="Arial"/>
              <w:b/>
              <w:i w:val="0"/>
              <w:sz w:val="40"/>
              <w:szCs w:val="40"/>
            </w:rPr>
          </w:pPr>
          <w:r w:rsidRPr="00CC6D53">
            <w:rPr>
              <w:rFonts w:cs="Arial"/>
              <w:b/>
              <w:i w:val="0"/>
              <w:sz w:val="40"/>
              <w:szCs w:val="40"/>
            </w:rPr>
            <w:t>DPF</w:t>
          </w:r>
        </w:p>
        <w:p w:rsidR="001555A7" w:rsidRPr="00CC6D53" w:rsidRDefault="001555A7" w:rsidP="00AC212F">
          <w:pPr>
            <w:ind w:left="885"/>
            <w:rPr>
              <w:rFonts w:cs="Arial"/>
              <w:i w:val="0"/>
              <w:sz w:val="12"/>
              <w:szCs w:val="12"/>
            </w:rPr>
          </w:pPr>
          <w:r>
            <w:rPr>
              <w:rFonts w:cs="Arial"/>
              <w:i w:val="0"/>
              <w:sz w:val="32"/>
              <w:szCs w:val="32"/>
            </w:rPr>
            <w:t>DEA</w:t>
          </w:r>
          <w:r w:rsidRPr="00CC6D53">
            <w:rPr>
              <w:rFonts w:cs="Arial"/>
              <w:i w:val="0"/>
              <w:sz w:val="32"/>
              <w:szCs w:val="32"/>
            </w:rPr>
            <w:t>/CPLAM/DLOG</w:t>
          </w:r>
        </w:p>
      </w:tc>
      <w:tc>
        <w:tcPr>
          <w:tcW w:w="4448" w:type="dxa"/>
        </w:tcPr>
        <w:p w:rsidR="001555A7" w:rsidRPr="00CC6D53" w:rsidRDefault="001555A7" w:rsidP="00AC212F">
          <w:pPr>
            <w:jc w:val="right"/>
            <w:rPr>
              <w:rFonts w:cs="Arial"/>
              <w:i w:val="0"/>
              <w:sz w:val="28"/>
              <w:szCs w:val="28"/>
            </w:rPr>
          </w:pPr>
          <w:r>
            <w:rPr>
              <w:rFonts w:cs="Arial"/>
              <w:b/>
              <w:i w:val="0"/>
              <w:sz w:val="28"/>
              <w:szCs w:val="28"/>
            </w:rPr>
            <w:t xml:space="preserve"> ANEXO I</w:t>
          </w:r>
          <w:r w:rsidR="009F2D13">
            <w:rPr>
              <w:rFonts w:cs="Arial"/>
              <w:b/>
              <w:i w:val="0"/>
              <w:sz w:val="28"/>
              <w:szCs w:val="28"/>
            </w:rPr>
            <w:t>II</w:t>
          </w:r>
          <w:r>
            <w:rPr>
              <w:rFonts w:cs="Arial"/>
              <w:b/>
              <w:i w:val="0"/>
              <w:sz w:val="28"/>
              <w:szCs w:val="28"/>
            </w:rPr>
            <w:t xml:space="preserve"> - </w:t>
          </w:r>
          <w:r w:rsidRPr="00CC6D53">
            <w:rPr>
              <w:rFonts w:cs="Arial"/>
              <w:b/>
              <w:i w:val="0"/>
              <w:sz w:val="28"/>
              <w:szCs w:val="28"/>
            </w:rPr>
            <w:t xml:space="preserve">Caderno de </w:t>
          </w:r>
          <w:r w:rsidR="009F2D13">
            <w:rPr>
              <w:rFonts w:cs="Arial"/>
              <w:b/>
              <w:i w:val="0"/>
              <w:sz w:val="28"/>
              <w:szCs w:val="28"/>
            </w:rPr>
            <w:t>Orçamento e BDI</w:t>
          </w:r>
        </w:p>
        <w:p w:rsidR="001555A7" w:rsidRPr="00CC6D53" w:rsidRDefault="001555A7" w:rsidP="00AC212F">
          <w:pPr>
            <w:rPr>
              <w:rFonts w:cs="Arial"/>
              <w:i w:val="0"/>
              <w:sz w:val="12"/>
              <w:szCs w:val="12"/>
            </w:rPr>
          </w:pPr>
        </w:p>
      </w:tc>
    </w:tr>
  </w:tbl>
  <w:p w:rsidR="001555A7" w:rsidRPr="00AF04FB" w:rsidRDefault="001555A7" w:rsidP="00AC212F">
    <w:pPr>
      <w:rPr>
        <w:rFonts w:cs="Arial"/>
        <w:i w:val="0"/>
        <w:sz w:val="12"/>
        <w:szCs w:val="12"/>
      </w:rPr>
    </w:pPr>
  </w:p>
  <w:tbl>
    <w:tblPr>
      <w:tblW w:w="907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72"/>
      <w:gridCol w:w="4300"/>
    </w:tblGrid>
    <w:tr w:rsidR="001555A7" w:rsidRPr="00AF04FB" w:rsidTr="00AC212F">
      <w:trPr>
        <w:cantSplit/>
        <w:trHeight w:val="413"/>
      </w:trPr>
      <w:tc>
        <w:tcPr>
          <w:tcW w:w="4772" w:type="dxa"/>
          <w:vMerge w:val="restart"/>
          <w:vAlign w:val="center"/>
        </w:tcPr>
        <w:p w:rsidR="001555A7" w:rsidRPr="00AF04FB" w:rsidRDefault="007B4172" w:rsidP="00ED750A">
          <w:pPr>
            <w:jc w:val="center"/>
            <w:rPr>
              <w:rFonts w:cs="Arial"/>
              <w:b/>
              <w:i w:val="0"/>
              <w:sz w:val="24"/>
              <w:szCs w:val="24"/>
            </w:rPr>
          </w:pPr>
          <w:r>
            <w:rPr>
              <w:rFonts w:cs="Arial"/>
              <w:b/>
              <w:i w:val="0"/>
              <w:sz w:val="24"/>
              <w:szCs w:val="24"/>
            </w:rPr>
            <w:t>SPDA do Edifício Sede do DPF no Setor de Autarquias Sul – DF.</w:t>
          </w:r>
        </w:p>
      </w:tc>
      <w:tc>
        <w:tcPr>
          <w:tcW w:w="4300" w:type="dxa"/>
          <w:vAlign w:val="center"/>
        </w:tcPr>
        <w:p w:rsidR="001555A7" w:rsidRPr="00680C95" w:rsidRDefault="001555A7" w:rsidP="00277EBC">
          <w:pPr>
            <w:jc w:val="center"/>
            <w:rPr>
              <w:rFonts w:cs="Arial"/>
              <w:b/>
              <w:i w:val="0"/>
              <w:sz w:val="24"/>
              <w:szCs w:val="24"/>
            </w:rPr>
          </w:pPr>
          <w:r w:rsidRPr="00680C95">
            <w:rPr>
              <w:rFonts w:cs="Arial"/>
              <w:b/>
              <w:i w:val="0"/>
              <w:sz w:val="24"/>
              <w:szCs w:val="24"/>
            </w:rPr>
            <w:t>Projeto Básico</w:t>
          </w:r>
          <w:r>
            <w:rPr>
              <w:rFonts w:cs="Arial"/>
              <w:b/>
              <w:i w:val="0"/>
              <w:sz w:val="24"/>
              <w:szCs w:val="24"/>
            </w:rPr>
            <w:t xml:space="preserve"> nº</w:t>
          </w:r>
          <w:r w:rsidRPr="00680C95">
            <w:rPr>
              <w:rFonts w:cs="Arial"/>
              <w:b/>
              <w:i w:val="0"/>
              <w:sz w:val="24"/>
              <w:szCs w:val="24"/>
            </w:rPr>
            <w:t xml:space="preserve"> </w:t>
          </w:r>
          <w:r w:rsidR="007B4172" w:rsidRPr="007B4172">
            <w:rPr>
              <w:rFonts w:cs="Arial"/>
              <w:b/>
              <w:i w:val="0"/>
              <w:sz w:val="24"/>
              <w:szCs w:val="24"/>
            </w:rPr>
            <w:t>01</w:t>
          </w:r>
          <w:r w:rsidRPr="007B4172">
            <w:rPr>
              <w:rFonts w:cs="Arial"/>
              <w:b/>
              <w:i w:val="0"/>
              <w:sz w:val="24"/>
              <w:szCs w:val="24"/>
            </w:rPr>
            <w:t>/201</w:t>
          </w:r>
          <w:r w:rsidR="00FF4721" w:rsidRPr="007B4172">
            <w:rPr>
              <w:rFonts w:cs="Arial"/>
              <w:b/>
              <w:i w:val="0"/>
              <w:sz w:val="24"/>
              <w:szCs w:val="24"/>
            </w:rPr>
            <w:t>5</w:t>
          </w:r>
          <w:r w:rsidRPr="00680C95">
            <w:rPr>
              <w:rFonts w:cs="Arial"/>
              <w:b/>
              <w:i w:val="0"/>
              <w:sz w:val="24"/>
              <w:szCs w:val="24"/>
            </w:rPr>
            <w:t>/SEFIS</w:t>
          </w:r>
        </w:p>
      </w:tc>
    </w:tr>
    <w:tr w:rsidR="001555A7" w:rsidRPr="00AF04FB" w:rsidTr="00680C95">
      <w:trPr>
        <w:cantSplit/>
        <w:trHeight w:val="412"/>
      </w:trPr>
      <w:tc>
        <w:tcPr>
          <w:tcW w:w="4772" w:type="dxa"/>
          <w:vMerge/>
        </w:tcPr>
        <w:p w:rsidR="001555A7" w:rsidRPr="00AF04FB" w:rsidRDefault="001555A7" w:rsidP="00AC212F">
          <w:pPr>
            <w:jc w:val="both"/>
            <w:rPr>
              <w:rFonts w:cs="Arial"/>
              <w:b/>
              <w:i w:val="0"/>
            </w:rPr>
          </w:pPr>
        </w:p>
      </w:tc>
      <w:tc>
        <w:tcPr>
          <w:tcW w:w="4300" w:type="dxa"/>
          <w:vAlign w:val="center"/>
        </w:tcPr>
        <w:p w:rsidR="001555A7" w:rsidRPr="00680C95" w:rsidRDefault="001555A7" w:rsidP="00680C95">
          <w:pPr>
            <w:jc w:val="center"/>
          </w:pPr>
          <w:r>
            <w:t xml:space="preserve">Página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5224CC">
            <w:rPr>
              <w:noProof/>
            </w:rPr>
            <w:t>4</w:t>
          </w:r>
          <w:r>
            <w:rPr>
              <w:noProof/>
            </w:rPr>
            <w:fldChar w:fldCharType="end"/>
          </w:r>
          <w:r>
            <w:t xml:space="preserve"> de </w:t>
          </w:r>
          <w:fldSimple w:instr=" NUMPAGES  ">
            <w:r w:rsidR="005224CC">
              <w:rPr>
                <w:noProof/>
              </w:rPr>
              <w:t>9</w:t>
            </w:r>
          </w:fldSimple>
        </w:p>
      </w:tc>
    </w:tr>
  </w:tbl>
  <w:p w:rsidR="001555A7" w:rsidRPr="00AC212F" w:rsidRDefault="001555A7" w:rsidP="00AC212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5A7" w:rsidRPr="00AF04FB" w:rsidRDefault="001555A7" w:rsidP="00CC49DA">
    <w:pPr>
      <w:rPr>
        <w:rFonts w:cs="Arial"/>
        <w:i w:val="0"/>
      </w:rPr>
    </w:pPr>
    <w:r>
      <w:rPr>
        <w:rFonts w:cs="Arial"/>
        <w:b/>
        <w:noProof/>
        <w:sz w:val="40"/>
        <w:szCs w:val="40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column">
            <wp:posOffset>131445</wp:posOffset>
          </wp:positionH>
          <wp:positionV relativeFrom="paragraph">
            <wp:posOffset>93980</wp:posOffset>
          </wp:positionV>
          <wp:extent cx="427990" cy="559435"/>
          <wp:effectExtent l="19050" t="0" r="0" b="0"/>
          <wp:wrapNone/>
          <wp:docPr id="1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Arial"/>
        <w:i w:val="0"/>
        <w:sz w:val="32"/>
        <w:szCs w:val="32"/>
      </w:rPr>
      <w:t xml:space="preserve">  </w:t>
    </w:r>
  </w:p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4483"/>
      <w:gridCol w:w="4591"/>
    </w:tblGrid>
    <w:tr w:rsidR="001555A7" w:rsidRPr="00CC6D53" w:rsidTr="00CC6D53">
      <w:trPr>
        <w:trHeight w:val="242"/>
      </w:trPr>
      <w:tc>
        <w:tcPr>
          <w:tcW w:w="4483" w:type="dxa"/>
        </w:tcPr>
        <w:p w:rsidR="001555A7" w:rsidRPr="00CC6D53" w:rsidRDefault="001555A7" w:rsidP="00CC6D53">
          <w:pPr>
            <w:ind w:left="885"/>
            <w:jc w:val="both"/>
            <w:rPr>
              <w:rFonts w:cs="Arial"/>
              <w:b/>
              <w:i w:val="0"/>
              <w:sz w:val="40"/>
              <w:szCs w:val="40"/>
            </w:rPr>
          </w:pPr>
          <w:r w:rsidRPr="00CC6D53">
            <w:rPr>
              <w:rFonts w:cs="Arial"/>
              <w:b/>
              <w:i w:val="0"/>
              <w:sz w:val="40"/>
              <w:szCs w:val="40"/>
            </w:rPr>
            <w:t>DPF</w:t>
          </w:r>
        </w:p>
        <w:p w:rsidR="001555A7" w:rsidRPr="00CC6D53" w:rsidRDefault="001555A7" w:rsidP="00CC6D53">
          <w:pPr>
            <w:ind w:left="885"/>
            <w:rPr>
              <w:rFonts w:cs="Arial"/>
              <w:i w:val="0"/>
              <w:sz w:val="12"/>
              <w:szCs w:val="12"/>
            </w:rPr>
          </w:pPr>
          <w:r>
            <w:rPr>
              <w:rFonts w:cs="Arial"/>
              <w:i w:val="0"/>
              <w:sz w:val="32"/>
              <w:szCs w:val="32"/>
            </w:rPr>
            <w:t>DEA</w:t>
          </w:r>
          <w:r w:rsidRPr="00CC6D53">
            <w:rPr>
              <w:rFonts w:cs="Arial"/>
              <w:i w:val="0"/>
              <w:sz w:val="32"/>
              <w:szCs w:val="32"/>
            </w:rPr>
            <w:t>/CPLAM/DLOG</w:t>
          </w:r>
        </w:p>
      </w:tc>
      <w:tc>
        <w:tcPr>
          <w:tcW w:w="4591" w:type="dxa"/>
        </w:tcPr>
        <w:p w:rsidR="001555A7" w:rsidRPr="00CC6D53" w:rsidRDefault="001555A7" w:rsidP="00EC4161">
          <w:pPr>
            <w:jc w:val="right"/>
            <w:rPr>
              <w:rFonts w:cs="Arial"/>
              <w:i w:val="0"/>
              <w:sz w:val="28"/>
              <w:szCs w:val="28"/>
            </w:rPr>
          </w:pPr>
          <w:r>
            <w:rPr>
              <w:rFonts w:cs="Arial"/>
              <w:b/>
              <w:i w:val="0"/>
              <w:sz w:val="28"/>
              <w:szCs w:val="28"/>
            </w:rPr>
            <w:t xml:space="preserve"> ANEXO III – Caderno de Orçamento e Cálculo do BDI.</w:t>
          </w:r>
        </w:p>
        <w:p w:rsidR="001555A7" w:rsidRPr="00CC6D53" w:rsidRDefault="001555A7" w:rsidP="00AF04FB">
          <w:pPr>
            <w:rPr>
              <w:rFonts w:cs="Arial"/>
              <w:i w:val="0"/>
              <w:sz w:val="12"/>
              <w:szCs w:val="12"/>
            </w:rPr>
          </w:pPr>
        </w:p>
      </w:tc>
    </w:tr>
  </w:tbl>
  <w:p w:rsidR="001555A7" w:rsidRPr="00AF04FB" w:rsidRDefault="001555A7" w:rsidP="00AF04FB">
    <w:pPr>
      <w:rPr>
        <w:rFonts w:cs="Arial"/>
        <w:i w:val="0"/>
        <w:sz w:val="12"/>
        <w:szCs w:val="12"/>
      </w:rPr>
    </w:pPr>
  </w:p>
  <w:tbl>
    <w:tblPr>
      <w:tblW w:w="907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72"/>
      <w:gridCol w:w="4300"/>
    </w:tblGrid>
    <w:tr w:rsidR="001555A7" w:rsidRPr="00AF04FB" w:rsidTr="00BC1FCF">
      <w:trPr>
        <w:cantSplit/>
        <w:trHeight w:val="413"/>
      </w:trPr>
      <w:tc>
        <w:tcPr>
          <w:tcW w:w="4772" w:type="dxa"/>
          <w:vMerge w:val="restart"/>
          <w:vAlign w:val="center"/>
        </w:tcPr>
        <w:p w:rsidR="001555A7" w:rsidRPr="00AF04FB" w:rsidRDefault="007B4172" w:rsidP="005F231E">
          <w:pPr>
            <w:jc w:val="center"/>
            <w:rPr>
              <w:rFonts w:cs="Arial"/>
              <w:b/>
              <w:i w:val="0"/>
              <w:sz w:val="24"/>
              <w:szCs w:val="24"/>
            </w:rPr>
          </w:pPr>
          <w:r>
            <w:rPr>
              <w:rFonts w:cs="Arial"/>
              <w:b/>
              <w:i w:val="0"/>
              <w:sz w:val="24"/>
              <w:szCs w:val="24"/>
            </w:rPr>
            <w:t>SPDA do Edifício Sede do DPF no Setor de Autarquias Sul – DF.</w:t>
          </w:r>
          <w:r w:rsidR="001555A7">
            <w:rPr>
              <w:rFonts w:cs="Arial"/>
              <w:b/>
              <w:i w:val="0"/>
              <w:sz w:val="24"/>
              <w:szCs w:val="24"/>
            </w:rPr>
            <w:t xml:space="preserve"> </w:t>
          </w:r>
        </w:p>
      </w:tc>
      <w:tc>
        <w:tcPr>
          <w:tcW w:w="4300" w:type="dxa"/>
          <w:vAlign w:val="center"/>
        </w:tcPr>
        <w:p w:rsidR="001555A7" w:rsidRPr="00680C95" w:rsidRDefault="001555A7" w:rsidP="000D6F0B">
          <w:pPr>
            <w:jc w:val="center"/>
            <w:rPr>
              <w:rFonts w:cs="Arial"/>
              <w:b/>
              <w:i w:val="0"/>
              <w:sz w:val="24"/>
              <w:szCs w:val="24"/>
            </w:rPr>
          </w:pPr>
          <w:r w:rsidRPr="00680C95">
            <w:rPr>
              <w:rFonts w:cs="Arial"/>
              <w:b/>
              <w:i w:val="0"/>
              <w:sz w:val="24"/>
              <w:szCs w:val="24"/>
            </w:rPr>
            <w:t>Projeto Básico</w:t>
          </w:r>
          <w:r>
            <w:rPr>
              <w:rFonts w:cs="Arial"/>
              <w:b/>
              <w:i w:val="0"/>
              <w:sz w:val="24"/>
              <w:szCs w:val="24"/>
            </w:rPr>
            <w:t xml:space="preserve"> nº</w:t>
          </w:r>
          <w:r w:rsidRPr="00680C95">
            <w:rPr>
              <w:rFonts w:cs="Arial"/>
              <w:b/>
              <w:i w:val="0"/>
              <w:sz w:val="24"/>
              <w:szCs w:val="24"/>
            </w:rPr>
            <w:t xml:space="preserve"> </w:t>
          </w:r>
          <w:r w:rsidR="00762177" w:rsidRPr="00762177">
            <w:rPr>
              <w:rFonts w:cs="Arial"/>
              <w:b/>
              <w:i w:val="0"/>
              <w:sz w:val="24"/>
              <w:szCs w:val="24"/>
            </w:rPr>
            <w:t>01</w:t>
          </w:r>
          <w:r w:rsidRPr="00762177">
            <w:rPr>
              <w:rFonts w:cs="Arial"/>
              <w:b/>
              <w:i w:val="0"/>
              <w:sz w:val="24"/>
              <w:szCs w:val="24"/>
            </w:rPr>
            <w:t>/201</w:t>
          </w:r>
          <w:r w:rsidR="004B5D10" w:rsidRPr="00762177">
            <w:rPr>
              <w:rFonts w:cs="Arial"/>
              <w:b/>
              <w:i w:val="0"/>
              <w:sz w:val="24"/>
              <w:szCs w:val="24"/>
            </w:rPr>
            <w:t>5</w:t>
          </w:r>
          <w:r w:rsidRPr="00762177">
            <w:rPr>
              <w:rFonts w:cs="Arial"/>
              <w:b/>
              <w:i w:val="0"/>
              <w:sz w:val="24"/>
              <w:szCs w:val="24"/>
            </w:rPr>
            <w:t>/</w:t>
          </w:r>
          <w:r w:rsidRPr="00680C95">
            <w:rPr>
              <w:rFonts w:cs="Arial"/>
              <w:b/>
              <w:i w:val="0"/>
              <w:sz w:val="24"/>
              <w:szCs w:val="24"/>
            </w:rPr>
            <w:t>SEFIS</w:t>
          </w:r>
        </w:p>
      </w:tc>
    </w:tr>
    <w:tr w:rsidR="001555A7" w:rsidRPr="00AF04FB" w:rsidTr="00680C95">
      <w:trPr>
        <w:cantSplit/>
        <w:trHeight w:val="412"/>
      </w:trPr>
      <w:tc>
        <w:tcPr>
          <w:tcW w:w="4772" w:type="dxa"/>
          <w:vMerge/>
        </w:tcPr>
        <w:p w:rsidR="001555A7" w:rsidRPr="00AF04FB" w:rsidRDefault="001555A7" w:rsidP="00701E12">
          <w:pPr>
            <w:jc w:val="both"/>
            <w:rPr>
              <w:rFonts w:cs="Arial"/>
              <w:b/>
              <w:i w:val="0"/>
            </w:rPr>
          </w:pPr>
        </w:p>
      </w:tc>
      <w:tc>
        <w:tcPr>
          <w:tcW w:w="4300" w:type="dxa"/>
          <w:vAlign w:val="center"/>
        </w:tcPr>
        <w:p w:rsidR="001555A7" w:rsidRPr="00680C95" w:rsidRDefault="001555A7" w:rsidP="00680C95">
          <w:pPr>
            <w:jc w:val="center"/>
          </w:pPr>
          <w:r w:rsidRPr="00680C95">
            <w:t xml:space="preserve">Página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5224CC">
            <w:rPr>
              <w:noProof/>
            </w:rPr>
            <w:t>1</w:t>
          </w:r>
          <w:r>
            <w:rPr>
              <w:noProof/>
            </w:rPr>
            <w:fldChar w:fldCharType="end"/>
          </w:r>
          <w:r w:rsidRPr="00680C95">
            <w:t xml:space="preserve"> de </w:t>
          </w:r>
          <w:fldSimple w:instr=" NUMPAGES  ">
            <w:r w:rsidR="005224CC">
              <w:rPr>
                <w:noProof/>
              </w:rPr>
              <w:t>9</w:t>
            </w:r>
          </w:fldSimple>
        </w:p>
      </w:tc>
    </w:tr>
  </w:tbl>
  <w:p w:rsidR="001555A7" w:rsidRDefault="001555A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830E166"/>
    <w:lvl w:ilvl="0">
      <w:numFmt w:val="none"/>
      <w:lvlText w:val=""/>
      <w:lvlJc w:val="left"/>
    </w:lvl>
    <w:lvl w:ilvl="1">
      <w:numFmt w:val="none"/>
      <w:lvlText w:val=""/>
      <w:lvlJc w:val="left"/>
    </w:lvl>
    <w:lvl w:ilvl="2">
      <w:start w:val="1"/>
      <w:numFmt w:val="decimal"/>
      <w:pStyle w:val="Ttulo3"/>
      <w:lvlText w:val=".%3."/>
      <w:legacy w:legacy="1" w:legacySpace="120" w:legacyIndent="360"/>
      <w:lvlJc w:val="left"/>
    </w:lvl>
    <w:lvl w:ilvl="3">
      <w:numFmt w:val="none"/>
      <w:lvlText w:val=""/>
      <w:lvlJc w:val="left"/>
    </w:lvl>
    <w:lvl w:ilvl="4">
      <w:start w:val="1"/>
      <w:numFmt w:val="decimal"/>
      <w:pStyle w:val="Ttulo5"/>
      <w:lvlText w:val=".%5."/>
      <w:legacy w:legacy="1" w:legacySpace="120" w:legacyIndent="360"/>
      <w:lvlJc w:val="left"/>
    </w:lvl>
    <w:lvl w:ilvl="5">
      <w:start w:val="1"/>
      <w:numFmt w:val="decimal"/>
      <w:pStyle w:val="Ttulo6"/>
      <w:lvlText w:val=".%5.%6."/>
      <w:legacy w:legacy="1" w:legacySpace="120" w:legacyIndent="360"/>
      <w:lvlJc w:val="left"/>
    </w:lvl>
    <w:lvl w:ilvl="6">
      <w:start w:val="1"/>
      <w:numFmt w:val="decimal"/>
      <w:pStyle w:val="Ttulo7"/>
      <w:lvlText w:val=".%5.%6.%7."/>
      <w:legacy w:legacy="1" w:legacySpace="120" w:legacyIndent="360"/>
      <w:lvlJc w:val="left"/>
    </w:lvl>
    <w:lvl w:ilvl="7">
      <w:start w:val="1"/>
      <w:numFmt w:val="decimal"/>
      <w:pStyle w:val="Ttulo8"/>
      <w:lvlText w:val=".%5.%6.%7.%8."/>
      <w:legacy w:legacy="1" w:legacySpace="120" w:legacyIndent="360"/>
      <w:lvlJc w:val="left"/>
    </w:lvl>
    <w:lvl w:ilvl="8">
      <w:start w:val="1"/>
      <w:numFmt w:val="decimal"/>
      <w:pStyle w:val="Ttulo9"/>
      <w:lvlText w:val=".%5.%6.%7.%8.%9."/>
      <w:legacy w:legacy="1" w:legacySpace="120" w:legacyIndent="360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5"/>
    <w:multiLevelType w:val="singleLevel"/>
    <w:tmpl w:val="82C2ED04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3" w15:restartNumberingAfterBreak="0">
    <w:nsid w:val="00000007"/>
    <w:multiLevelType w:val="multilevel"/>
    <w:tmpl w:val="00000007"/>
    <w:name w:val="WW8Num18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C"/>
    <w:multiLevelType w:val="singleLevel"/>
    <w:tmpl w:val="0000000C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D"/>
    <w:multiLevelType w:val="singleLevel"/>
    <w:tmpl w:val="0000000D"/>
    <w:name w:val="WW8Num28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</w:abstractNum>
  <w:abstractNum w:abstractNumId="6" w15:restartNumberingAfterBreak="0">
    <w:nsid w:val="00000011"/>
    <w:multiLevelType w:val="singleLevel"/>
    <w:tmpl w:val="00000011"/>
    <w:lvl w:ilvl="0">
      <w:start w:val="1"/>
      <w:numFmt w:val="bullet"/>
      <w:lvlText w:val=""/>
      <w:lvlJc w:val="left"/>
      <w:pPr>
        <w:tabs>
          <w:tab w:val="num" w:pos="993"/>
        </w:tabs>
        <w:ind w:left="993" w:hanging="283"/>
      </w:pPr>
      <w:rPr>
        <w:rFonts w:ascii="Symbol" w:hAnsi="Symbol"/>
      </w:rPr>
    </w:lvl>
  </w:abstractNum>
  <w:abstractNum w:abstractNumId="7" w15:restartNumberingAfterBreak="0">
    <w:nsid w:val="00000013"/>
    <w:multiLevelType w:val="multilevel"/>
    <w:tmpl w:val="0000001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4"/>
    <w:multiLevelType w:val="multilevel"/>
    <w:tmpl w:val="00000014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5"/>
    <w:multiLevelType w:val="multilevel"/>
    <w:tmpl w:val="00000015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6"/>
    <w:multiLevelType w:val="multilevel"/>
    <w:tmpl w:val="00000016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8"/>
    <w:multiLevelType w:val="multilevel"/>
    <w:tmpl w:val="00000018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27"/>
    <w:multiLevelType w:val="multilevel"/>
    <w:tmpl w:val="00000027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13" w15:restartNumberingAfterBreak="0">
    <w:nsid w:val="00000031"/>
    <w:multiLevelType w:val="multilevel"/>
    <w:tmpl w:val="0000003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4" w15:restartNumberingAfterBreak="0">
    <w:nsid w:val="1D1E394C"/>
    <w:multiLevelType w:val="hybridMultilevel"/>
    <w:tmpl w:val="68C24E80"/>
    <w:lvl w:ilvl="0" w:tplc="0BD06446">
      <w:start w:val="1"/>
      <w:numFmt w:val="lowerLetter"/>
      <w:lvlText w:val="%1)"/>
      <w:lvlJc w:val="left"/>
      <w:pPr>
        <w:ind w:left="1699" w:hanging="990"/>
      </w:pPr>
      <w:rPr>
        <w:rFonts w:ascii="Arial" w:hAnsi="Arial" w:cs="Arial" w:hint="default"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789" w:hanging="360"/>
      </w:pPr>
    </w:lvl>
    <w:lvl w:ilvl="2" w:tplc="0416001B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C975496"/>
    <w:multiLevelType w:val="multilevel"/>
    <w:tmpl w:val="7DB4CC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25D32DE"/>
    <w:multiLevelType w:val="hybridMultilevel"/>
    <w:tmpl w:val="6BB0A00A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4C5469E4"/>
    <w:multiLevelType w:val="hybridMultilevel"/>
    <w:tmpl w:val="22A8E308"/>
    <w:lvl w:ilvl="0" w:tplc="0416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18" w15:restartNumberingAfterBreak="0">
    <w:nsid w:val="54307641"/>
    <w:multiLevelType w:val="hybridMultilevel"/>
    <w:tmpl w:val="D3F873C6"/>
    <w:lvl w:ilvl="0" w:tplc="545243F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B76299DA" w:tentative="1">
      <w:start w:val="1"/>
      <w:numFmt w:val="lowerLetter"/>
      <w:lvlText w:val="%2."/>
      <w:lvlJc w:val="left"/>
      <w:pPr>
        <w:ind w:left="1931" w:hanging="360"/>
      </w:pPr>
    </w:lvl>
    <w:lvl w:ilvl="2" w:tplc="D85CD780" w:tentative="1">
      <w:start w:val="1"/>
      <w:numFmt w:val="lowerRoman"/>
      <w:lvlText w:val="%3."/>
      <w:lvlJc w:val="right"/>
      <w:pPr>
        <w:ind w:left="2651" w:hanging="180"/>
      </w:pPr>
    </w:lvl>
    <w:lvl w:ilvl="3" w:tplc="C388E03C" w:tentative="1">
      <w:start w:val="1"/>
      <w:numFmt w:val="decimal"/>
      <w:lvlText w:val="%4."/>
      <w:lvlJc w:val="left"/>
      <w:pPr>
        <w:ind w:left="3371" w:hanging="360"/>
      </w:pPr>
    </w:lvl>
    <w:lvl w:ilvl="4" w:tplc="F5BE1788" w:tentative="1">
      <w:start w:val="1"/>
      <w:numFmt w:val="lowerLetter"/>
      <w:lvlText w:val="%5."/>
      <w:lvlJc w:val="left"/>
      <w:pPr>
        <w:ind w:left="4091" w:hanging="360"/>
      </w:pPr>
    </w:lvl>
    <w:lvl w:ilvl="5" w:tplc="2F985A58" w:tentative="1">
      <w:start w:val="1"/>
      <w:numFmt w:val="lowerRoman"/>
      <w:lvlText w:val="%6."/>
      <w:lvlJc w:val="right"/>
      <w:pPr>
        <w:ind w:left="4811" w:hanging="180"/>
      </w:pPr>
    </w:lvl>
    <w:lvl w:ilvl="6" w:tplc="5C5ED69C" w:tentative="1">
      <w:start w:val="1"/>
      <w:numFmt w:val="decimal"/>
      <w:lvlText w:val="%7."/>
      <w:lvlJc w:val="left"/>
      <w:pPr>
        <w:ind w:left="5531" w:hanging="360"/>
      </w:pPr>
    </w:lvl>
    <w:lvl w:ilvl="7" w:tplc="CA0CE1A4" w:tentative="1">
      <w:start w:val="1"/>
      <w:numFmt w:val="lowerLetter"/>
      <w:lvlText w:val="%8."/>
      <w:lvlJc w:val="left"/>
      <w:pPr>
        <w:ind w:left="6251" w:hanging="360"/>
      </w:pPr>
    </w:lvl>
    <w:lvl w:ilvl="8" w:tplc="17043D32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5F1A3AA7"/>
    <w:multiLevelType w:val="hybridMultilevel"/>
    <w:tmpl w:val="403E164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B85006"/>
    <w:multiLevelType w:val="hybridMultilevel"/>
    <w:tmpl w:val="C54EDE84"/>
    <w:lvl w:ilvl="0" w:tplc="ABD8041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607837DB"/>
    <w:multiLevelType w:val="hybridMultilevel"/>
    <w:tmpl w:val="0AC481C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2BB7C4A"/>
    <w:multiLevelType w:val="hybridMultilevel"/>
    <w:tmpl w:val="0930EDB2"/>
    <w:lvl w:ilvl="0" w:tplc="998C051A">
      <w:start w:val="1"/>
      <w:numFmt w:val="lowerLetter"/>
      <w:lvlText w:val="%1)"/>
      <w:lvlJc w:val="left"/>
      <w:pPr>
        <w:ind w:left="1984" w:hanging="11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9" w:hanging="360"/>
      </w:pPr>
    </w:lvl>
    <w:lvl w:ilvl="2" w:tplc="0416001B" w:tentative="1">
      <w:start w:val="1"/>
      <w:numFmt w:val="lowerRoman"/>
      <w:lvlText w:val="%3."/>
      <w:lvlJc w:val="right"/>
      <w:pPr>
        <w:ind w:left="2659" w:hanging="180"/>
      </w:pPr>
    </w:lvl>
    <w:lvl w:ilvl="3" w:tplc="0416000F" w:tentative="1">
      <w:start w:val="1"/>
      <w:numFmt w:val="decimal"/>
      <w:lvlText w:val="%4."/>
      <w:lvlJc w:val="left"/>
      <w:pPr>
        <w:ind w:left="3379" w:hanging="360"/>
      </w:pPr>
    </w:lvl>
    <w:lvl w:ilvl="4" w:tplc="04160019" w:tentative="1">
      <w:start w:val="1"/>
      <w:numFmt w:val="lowerLetter"/>
      <w:lvlText w:val="%5."/>
      <w:lvlJc w:val="left"/>
      <w:pPr>
        <w:ind w:left="4099" w:hanging="360"/>
      </w:pPr>
    </w:lvl>
    <w:lvl w:ilvl="5" w:tplc="0416001B" w:tentative="1">
      <w:start w:val="1"/>
      <w:numFmt w:val="lowerRoman"/>
      <w:lvlText w:val="%6."/>
      <w:lvlJc w:val="right"/>
      <w:pPr>
        <w:ind w:left="4819" w:hanging="180"/>
      </w:pPr>
    </w:lvl>
    <w:lvl w:ilvl="6" w:tplc="0416000F" w:tentative="1">
      <w:start w:val="1"/>
      <w:numFmt w:val="decimal"/>
      <w:lvlText w:val="%7."/>
      <w:lvlJc w:val="left"/>
      <w:pPr>
        <w:ind w:left="5539" w:hanging="360"/>
      </w:pPr>
    </w:lvl>
    <w:lvl w:ilvl="7" w:tplc="04160019" w:tentative="1">
      <w:start w:val="1"/>
      <w:numFmt w:val="lowerLetter"/>
      <w:lvlText w:val="%8."/>
      <w:lvlJc w:val="left"/>
      <w:pPr>
        <w:ind w:left="6259" w:hanging="360"/>
      </w:pPr>
    </w:lvl>
    <w:lvl w:ilvl="8" w:tplc="0416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23" w15:restartNumberingAfterBreak="0">
    <w:nsid w:val="6610332D"/>
    <w:multiLevelType w:val="hybridMultilevel"/>
    <w:tmpl w:val="C19E536A"/>
    <w:lvl w:ilvl="0" w:tplc="6CAEB428">
      <w:start w:val="3"/>
      <w:numFmt w:val="lowerLetter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CCC06A9E" w:tentative="1">
      <w:start w:val="1"/>
      <w:numFmt w:val="lowerLetter"/>
      <w:lvlText w:val="%2."/>
      <w:lvlJc w:val="left"/>
      <w:pPr>
        <w:ind w:left="1931" w:hanging="360"/>
      </w:pPr>
    </w:lvl>
    <w:lvl w:ilvl="2" w:tplc="8E944FBC" w:tentative="1">
      <w:start w:val="1"/>
      <w:numFmt w:val="lowerRoman"/>
      <w:lvlText w:val="%3."/>
      <w:lvlJc w:val="right"/>
      <w:pPr>
        <w:ind w:left="2651" w:hanging="180"/>
      </w:pPr>
    </w:lvl>
    <w:lvl w:ilvl="3" w:tplc="6D745EB2" w:tentative="1">
      <w:start w:val="1"/>
      <w:numFmt w:val="decimal"/>
      <w:lvlText w:val="%4."/>
      <w:lvlJc w:val="left"/>
      <w:pPr>
        <w:ind w:left="3371" w:hanging="360"/>
      </w:pPr>
    </w:lvl>
    <w:lvl w:ilvl="4" w:tplc="273C6F22" w:tentative="1">
      <w:start w:val="1"/>
      <w:numFmt w:val="lowerLetter"/>
      <w:lvlText w:val="%5."/>
      <w:lvlJc w:val="left"/>
      <w:pPr>
        <w:ind w:left="4091" w:hanging="360"/>
      </w:pPr>
    </w:lvl>
    <w:lvl w:ilvl="5" w:tplc="F70C5298" w:tentative="1">
      <w:start w:val="1"/>
      <w:numFmt w:val="lowerRoman"/>
      <w:lvlText w:val="%6."/>
      <w:lvlJc w:val="right"/>
      <w:pPr>
        <w:ind w:left="4811" w:hanging="180"/>
      </w:pPr>
    </w:lvl>
    <w:lvl w:ilvl="6" w:tplc="277886F4" w:tentative="1">
      <w:start w:val="1"/>
      <w:numFmt w:val="decimal"/>
      <w:lvlText w:val="%7."/>
      <w:lvlJc w:val="left"/>
      <w:pPr>
        <w:ind w:left="5531" w:hanging="360"/>
      </w:pPr>
    </w:lvl>
    <w:lvl w:ilvl="7" w:tplc="DB5E4FE6" w:tentative="1">
      <w:start w:val="1"/>
      <w:numFmt w:val="lowerLetter"/>
      <w:lvlText w:val="%8."/>
      <w:lvlJc w:val="left"/>
      <w:pPr>
        <w:ind w:left="6251" w:hanging="360"/>
      </w:pPr>
    </w:lvl>
    <w:lvl w:ilvl="8" w:tplc="8BF22D06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808568A"/>
    <w:multiLevelType w:val="multilevel"/>
    <w:tmpl w:val="864807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6E685B39"/>
    <w:multiLevelType w:val="hybridMultilevel"/>
    <w:tmpl w:val="04AECAC8"/>
    <w:lvl w:ilvl="0" w:tplc="F4A0308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EFE4DB8"/>
    <w:multiLevelType w:val="hybridMultilevel"/>
    <w:tmpl w:val="F190BFE8"/>
    <w:lvl w:ilvl="0" w:tplc="A630EE94">
      <w:start w:val="1"/>
      <w:numFmt w:val="lowerLetter"/>
      <w:lvlText w:val="%1)"/>
      <w:lvlJc w:val="left"/>
      <w:pPr>
        <w:ind w:left="20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08" w:hanging="360"/>
      </w:pPr>
    </w:lvl>
    <w:lvl w:ilvl="2" w:tplc="0416001B" w:tentative="1">
      <w:start w:val="1"/>
      <w:numFmt w:val="lowerRoman"/>
      <w:lvlText w:val="%3."/>
      <w:lvlJc w:val="right"/>
      <w:pPr>
        <w:ind w:left="3528" w:hanging="180"/>
      </w:pPr>
    </w:lvl>
    <w:lvl w:ilvl="3" w:tplc="0416000F" w:tentative="1">
      <w:start w:val="1"/>
      <w:numFmt w:val="decimal"/>
      <w:lvlText w:val="%4."/>
      <w:lvlJc w:val="left"/>
      <w:pPr>
        <w:ind w:left="4248" w:hanging="360"/>
      </w:pPr>
    </w:lvl>
    <w:lvl w:ilvl="4" w:tplc="04160019" w:tentative="1">
      <w:start w:val="1"/>
      <w:numFmt w:val="lowerLetter"/>
      <w:lvlText w:val="%5."/>
      <w:lvlJc w:val="left"/>
      <w:pPr>
        <w:ind w:left="4968" w:hanging="360"/>
      </w:pPr>
    </w:lvl>
    <w:lvl w:ilvl="5" w:tplc="0416001B" w:tentative="1">
      <w:start w:val="1"/>
      <w:numFmt w:val="lowerRoman"/>
      <w:lvlText w:val="%6."/>
      <w:lvlJc w:val="right"/>
      <w:pPr>
        <w:ind w:left="5688" w:hanging="180"/>
      </w:pPr>
    </w:lvl>
    <w:lvl w:ilvl="6" w:tplc="0416000F" w:tentative="1">
      <w:start w:val="1"/>
      <w:numFmt w:val="decimal"/>
      <w:lvlText w:val="%7."/>
      <w:lvlJc w:val="left"/>
      <w:pPr>
        <w:ind w:left="6408" w:hanging="360"/>
      </w:pPr>
    </w:lvl>
    <w:lvl w:ilvl="7" w:tplc="04160019" w:tentative="1">
      <w:start w:val="1"/>
      <w:numFmt w:val="lowerLetter"/>
      <w:lvlText w:val="%8."/>
      <w:lvlJc w:val="left"/>
      <w:pPr>
        <w:ind w:left="7128" w:hanging="360"/>
      </w:pPr>
    </w:lvl>
    <w:lvl w:ilvl="8" w:tplc="0416001B" w:tentative="1">
      <w:start w:val="1"/>
      <w:numFmt w:val="lowerRoman"/>
      <w:lvlText w:val="%9."/>
      <w:lvlJc w:val="right"/>
      <w:pPr>
        <w:ind w:left="7848" w:hanging="180"/>
      </w:pPr>
    </w:lvl>
  </w:abstractNum>
  <w:num w:numId="1">
    <w:abstractNumId w:val="0"/>
  </w:num>
  <w:num w:numId="2">
    <w:abstractNumId w:val="18"/>
  </w:num>
  <w:num w:numId="3">
    <w:abstractNumId w:val="23"/>
  </w:num>
  <w:num w:numId="4">
    <w:abstractNumId w:val="24"/>
  </w:num>
  <w:num w:numId="5">
    <w:abstractNumId w:val="14"/>
  </w:num>
  <w:num w:numId="6">
    <w:abstractNumId w:val="6"/>
  </w:num>
  <w:num w:numId="7">
    <w:abstractNumId w:val="13"/>
  </w:num>
  <w:num w:numId="8">
    <w:abstractNumId w:val="3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7"/>
  </w:num>
  <w:num w:numId="15">
    <w:abstractNumId w:val="21"/>
  </w:num>
  <w:num w:numId="16">
    <w:abstractNumId w:val="12"/>
  </w:num>
  <w:num w:numId="17">
    <w:abstractNumId w:val="15"/>
  </w:num>
  <w:num w:numId="18">
    <w:abstractNumId w:val="2"/>
  </w:num>
  <w:num w:numId="19">
    <w:abstractNumId w:val="16"/>
  </w:num>
  <w:num w:numId="20">
    <w:abstractNumId w:val="22"/>
  </w:num>
  <w:num w:numId="21">
    <w:abstractNumId w:val="20"/>
  </w:num>
  <w:num w:numId="22">
    <w:abstractNumId w:val="25"/>
  </w:num>
  <w:num w:numId="23">
    <w:abstractNumId w:val="19"/>
  </w:num>
  <w:num w:numId="24">
    <w:abstractNumId w:val="1"/>
  </w:num>
  <w:num w:numId="25">
    <w:abstractNumId w:val="2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1" w:dllVersion="513" w:checkStyle="1"/>
  <w:activeWritingStyle w:appName="MSWord" w:lang="es-ES_tradnl" w:vendorID="9" w:dllVersion="512" w:checkStyle="1"/>
  <w:activeWritingStyle w:appName="MSWord" w:lang="pt-PT" w:vendorID="1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4D45"/>
    <w:rsid w:val="00001A2C"/>
    <w:rsid w:val="0000421C"/>
    <w:rsid w:val="000057A1"/>
    <w:rsid w:val="00005873"/>
    <w:rsid w:val="00006F0E"/>
    <w:rsid w:val="000070B5"/>
    <w:rsid w:val="0000724F"/>
    <w:rsid w:val="000113A1"/>
    <w:rsid w:val="00011978"/>
    <w:rsid w:val="00016BE3"/>
    <w:rsid w:val="000171C5"/>
    <w:rsid w:val="00017C0D"/>
    <w:rsid w:val="00022FDF"/>
    <w:rsid w:val="00030399"/>
    <w:rsid w:val="00030445"/>
    <w:rsid w:val="000320AC"/>
    <w:rsid w:val="000339E5"/>
    <w:rsid w:val="00033C58"/>
    <w:rsid w:val="00034D85"/>
    <w:rsid w:val="0003609B"/>
    <w:rsid w:val="00036E92"/>
    <w:rsid w:val="0004168A"/>
    <w:rsid w:val="000457E6"/>
    <w:rsid w:val="00046651"/>
    <w:rsid w:val="000468C1"/>
    <w:rsid w:val="00046AC5"/>
    <w:rsid w:val="000503DF"/>
    <w:rsid w:val="00061B8C"/>
    <w:rsid w:val="000633F6"/>
    <w:rsid w:val="000674CC"/>
    <w:rsid w:val="0007272F"/>
    <w:rsid w:val="000762F2"/>
    <w:rsid w:val="00080220"/>
    <w:rsid w:val="00082872"/>
    <w:rsid w:val="00090659"/>
    <w:rsid w:val="00093AA7"/>
    <w:rsid w:val="000952AC"/>
    <w:rsid w:val="00096801"/>
    <w:rsid w:val="00097F0C"/>
    <w:rsid w:val="000A014C"/>
    <w:rsid w:val="000A07CF"/>
    <w:rsid w:val="000A1539"/>
    <w:rsid w:val="000A24ED"/>
    <w:rsid w:val="000A29FB"/>
    <w:rsid w:val="000A363B"/>
    <w:rsid w:val="000A4E44"/>
    <w:rsid w:val="000A5CB4"/>
    <w:rsid w:val="000A65B5"/>
    <w:rsid w:val="000A7CF3"/>
    <w:rsid w:val="000A7FE0"/>
    <w:rsid w:val="000B04C1"/>
    <w:rsid w:val="000B0CC7"/>
    <w:rsid w:val="000B1925"/>
    <w:rsid w:val="000B1CD0"/>
    <w:rsid w:val="000B282D"/>
    <w:rsid w:val="000B28A2"/>
    <w:rsid w:val="000B5599"/>
    <w:rsid w:val="000B575F"/>
    <w:rsid w:val="000B5E06"/>
    <w:rsid w:val="000B687B"/>
    <w:rsid w:val="000B6FA2"/>
    <w:rsid w:val="000C00A3"/>
    <w:rsid w:val="000C18D1"/>
    <w:rsid w:val="000C27CF"/>
    <w:rsid w:val="000C32C0"/>
    <w:rsid w:val="000C4C48"/>
    <w:rsid w:val="000C5452"/>
    <w:rsid w:val="000D2061"/>
    <w:rsid w:val="000D6F0B"/>
    <w:rsid w:val="000E0B46"/>
    <w:rsid w:val="000E1F7F"/>
    <w:rsid w:val="000E364E"/>
    <w:rsid w:val="000E612C"/>
    <w:rsid w:val="000E64B2"/>
    <w:rsid w:val="000E7029"/>
    <w:rsid w:val="000F049D"/>
    <w:rsid w:val="000F2942"/>
    <w:rsid w:val="000F31A2"/>
    <w:rsid w:val="000F430F"/>
    <w:rsid w:val="000F50BF"/>
    <w:rsid w:val="000F5949"/>
    <w:rsid w:val="000F5BD4"/>
    <w:rsid w:val="00101FAB"/>
    <w:rsid w:val="00103A49"/>
    <w:rsid w:val="00105407"/>
    <w:rsid w:val="00105EF8"/>
    <w:rsid w:val="001071D8"/>
    <w:rsid w:val="001073AC"/>
    <w:rsid w:val="00110B91"/>
    <w:rsid w:val="00114451"/>
    <w:rsid w:val="0012125D"/>
    <w:rsid w:val="00121B00"/>
    <w:rsid w:val="001223ED"/>
    <w:rsid w:val="001228DC"/>
    <w:rsid w:val="00125DD8"/>
    <w:rsid w:val="00126C8F"/>
    <w:rsid w:val="0012785E"/>
    <w:rsid w:val="001348CD"/>
    <w:rsid w:val="00134B57"/>
    <w:rsid w:val="001360B4"/>
    <w:rsid w:val="001371B6"/>
    <w:rsid w:val="00140CE0"/>
    <w:rsid w:val="001446D4"/>
    <w:rsid w:val="001452B9"/>
    <w:rsid w:val="001467DC"/>
    <w:rsid w:val="0015132F"/>
    <w:rsid w:val="001555A7"/>
    <w:rsid w:val="001572F9"/>
    <w:rsid w:val="00161420"/>
    <w:rsid w:val="00162E8D"/>
    <w:rsid w:val="00163A12"/>
    <w:rsid w:val="0016686F"/>
    <w:rsid w:val="00167755"/>
    <w:rsid w:val="001715B3"/>
    <w:rsid w:val="001721DA"/>
    <w:rsid w:val="00174FF4"/>
    <w:rsid w:val="00175166"/>
    <w:rsid w:val="00175523"/>
    <w:rsid w:val="00177311"/>
    <w:rsid w:val="0018034C"/>
    <w:rsid w:val="001808EF"/>
    <w:rsid w:val="00185010"/>
    <w:rsid w:val="001864E3"/>
    <w:rsid w:val="00187DFE"/>
    <w:rsid w:val="001900E7"/>
    <w:rsid w:val="00191A17"/>
    <w:rsid w:val="00194379"/>
    <w:rsid w:val="00197B4E"/>
    <w:rsid w:val="00197DE6"/>
    <w:rsid w:val="001A2C4E"/>
    <w:rsid w:val="001A34C3"/>
    <w:rsid w:val="001A4571"/>
    <w:rsid w:val="001B1D74"/>
    <w:rsid w:val="001B2D5E"/>
    <w:rsid w:val="001B485F"/>
    <w:rsid w:val="001C00F9"/>
    <w:rsid w:val="001C10DD"/>
    <w:rsid w:val="001C2858"/>
    <w:rsid w:val="001C2A3E"/>
    <w:rsid w:val="001C55F2"/>
    <w:rsid w:val="001C6D29"/>
    <w:rsid w:val="001C7877"/>
    <w:rsid w:val="001D432D"/>
    <w:rsid w:val="001D4952"/>
    <w:rsid w:val="001D4B29"/>
    <w:rsid w:val="001D58F6"/>
    <w:rsid w:val="001E17E2"/>
    <w:rsid w:val="001E306A"/>
    <w:rsid w:val="001E3723"/>
    <w:rsid w:val="001E4585"/>
    <w:rsid w:val="001E58A5"/>
    <w:rsid w:val="001E79C4"/>
    <w:rsid w:val="001F605E"/>
    <w:rsid w:val="001F655E"/>
    <w:rsid w:val="0020228D"/>
    <w:rsid w:val="00203977"/>
    <w:rsid w:val="002078F4"/>
    <w:rsid w:val="00210D96"/>
    <w:rsid w:val="00212585"/>
    <w:rsid w:val="00212E7E"/>
    <w:rsid w:val="00212F5D"/>
    <w:rsid w:val="002144E1"/>
    <w:rsid w:val="002151CB"/>
    <w:rsid w:val="002167EB"/>
    <w:rsid w:val="00216872"/>
    <w:rsid w:val="002208DC"/>
    <w:rsid w:val="00221CF3"/>
    <w:rsid w:val="00222ABB"/>
    <w:rsid w:val="00223432"/>
    <w:rsid w:val="0022481E"/>
    <w:rsid w:val="00226DB6"/>
    <w:rsid w:val="00230164"/>
    <w:rsid w:val="002309A2"/>
    <w:rsid w:val="00230C49"/>
    <w:rsid w:val="002314ED"/>
    <w:rsid w:val="00232426"/>
    <w:rsid w:val="00236897"/>
    <w:rsid w:val="0023726D"/>
    <w:rsid w:val="00237638"/>
    <w:rsid w:val="0024202E"/>
    <w:rsid w:val="00242A99"/>
    <w:rsid w:val="00244F0B"/>
    <w:rsid w:val="002462F7"/>
    <w:rsid w:val="00250CA3"/>
    <w:rsid w:val="00252121"/>
    <w:rsid w:val="00257E1B"/>
    <w:rsid w:val="002639E2"/>
    <w:rsid w:val="00266CAB"/>
    <w:rsid w:val="00274842"/>
    <w:rsid w:val="00274CDC"/>
    <w:rsid w:val="00276B0E"/>
    <w:rsid w:val="00277EBC"/>
    <w:rsid w:val="002800A9"/>
    <w:rsid w:val="0028205D"/>
    <w:rsid w:val="00282C53"/>
    <w:rsid w:val="00284272"/>
    <w:rsid w:val="00286EBA"/>
    <w:rsid w:val="00286FB6"/>
    <w:rsid w:val="00287A31"/>
    <w:rsid w:val="00290678"/>
    <w:rsid w:val="002918ED"/>
    <w:rsid w:val="00294022"/>
    <w:rsid w:val="00296155"/>
    <w:rsid w:val="002A0FAA"/>
    <w:rsid w:val="002A12A5"/>
    <w:rsid w:val="002A3FA7"/>
    <w:rsid w:val="002A3FEA"/>
    <w:rsid w:val="002A44DF"/>
    <w:rsid w:val="002A6493"/>
    <w:rsid w:val="002A64E4"/>
    <w:rsid w:val="002A7E55"/>
    <w:rsid w:val="002B0CA6"/>
    <w:rsid w:val="002B0D6E"/>
    <w:rsid w:val="002B2972"/>
    <w:rsid w:val="002B32B7"/>
    <w:rsid w:val="002B4A32"/>
    <w:rsid w:val="002B7B78"/>
    <w:rsid w:val="002C14FA"/>
    <w:rsid w:val="002C1A92"/>
    <w:rsid w:val="002C38E6"/>
    <w:rsid w:val="002C42E6"/>
    <w:rsid w:val="002C5182"/>
    <w:rsid w:val="002C5ED2"/>
    <w:rsid w:val="002C749A"/>
    <w:rsid w:val="002D2547"/>
    <w:rsid w:val="002D334D"/>
    <w:rsid w:val="002D6791"/>
    <w:rsid w:val="002D6FD5"/>
    <w:rsid w:val="002E0A69"/>
    <w:rsid w:val="002E300E"/>
    <w:rsid w:val="002E3458"/>
    <w:rsid w:val="002E453A"/>
    <w:rsid w:val="002F100B"/>
    <w:rsid w:val="002F2226"/>
    <w:rsid w:val="002F46EC"/>
    <w:rsid w:val="002F73CE"/>
    <w:rsid w:val="002F7A22"/>
    <w:rsid w:val="003106F7"/>
    <w:rsid w:val="00310D43"/>
    <w:rsid w:val="00313742"/>
    <w:rsid w:val="0031387F"/>
    <w:rsid w:val="00313D2C"/>
    <w:rsid w:val="00314E8E"/>
    <w:rsid w:val="0031667A"/>
    <w:rsid w:val="00316F2A"/>
    <w:rsid w:val="0032165F"/>
    <w:rsid w:val="003216FA"/>
    <w:rsid w:val="0032295C"/>
    <w:rsid w:val="00325ADF"/>
    <w:rsid w:val="00326AB4"/>
    <w:rsid w:val="0032786F"/>
    <w:rsid w:val="0033065E"/>
    <w:rsid w:val="003314B0"/>
    <w:rsid w:val="003325C1"/>
    <w:rsid w:val="00333027"/>
    <w:rsid w:val="00333E7D"/>
    <w:rsid w:val="003364D3"/>
    <w:rsid w:val="00336B50"/>
    <w:rsid w:val="00343CA0"/>
    <w:rsid w:val="003470C4"/>
    <w:rsid w:val="0034711E"/>
    <w:rsid w:val="0034762A"/>
    <w:rsid w:val="00354186"/>
    <w:rsid w:val="00356A9E"/>
    <w:rsid w:val="00365422"/>
    <w:rsid w:val="003654C5"/>
    <w:rsid w:val="00366649"/>
    <w:rsid w:val="00370A47"/>
    <w:rsid w:val="00370CC6"/>
    <w:rsid w:val="00370D7A"/>
    <w:rsid w:val="00375844"/>
    <w:rsid w:val="003758B4"/>
    <w:rsid w:val="00377236"/>
    <w:rsid w:val="00381219"/>
    <w:rsid w:val="00386D09"/>
    <w:rsid w:val="00390564"/>
    <w:rsid w:val="0039220D"/>
    <w:rsid w:val="003943A9"/>
    <w:rsid w:val="00395A68"/>
    <w:rsid w:val="003A2DF1"/>
    <w:rsid w:val="003A2EF0"/>
    <w:rsid w:val="003A56CE"/>
    <w:rsid w:val="003A5AA6"/>
    <w:rsid w:val="003B0E61"/>
    <w:rsid w:val="003B173A"/>
    <w:rsid w:val="003B3FB1"/>
    <w:rsid w:val="003B7C44"/>
    <w:rsid w:val="003B7D61"/>
    <w:rsid w:val="003C1046"/>
    <w:rsid w:val="003C1BDD"/>
    <w:rsid w:val="003D4EBA"/>
    <w:rsid w:val="003E2535"/>
    <w:rsid w:val="003F0241"/>
    <w:rsid w:val="003F2026"/>
    <w:rsid w:val="003F21C7"/>
    <w:rsid w:val="004017FC"/>
    <w:rsid w:val="004017FD"/>
    <w:rsid w:val="00403DCF"/>
    <w:rsid w:val="00405F79"/>
    <w:rsid w:val="004129BE"/>
    <w:rsid w:val="00412B53"/>
    <w:rsid w:val="004154EC"/>
    <w:rsid w:val="00422A82"/>
    <w:rsid w:val="00425148"/>
    <w:rsid w:val="004252F5"/>
    <w:rsid w:val="004261FF"/>
    <w:rsid w:val="004305B0"/>
    <w:rsid w:val="00430FA8"/>
    <w:rsid w:val="00432AD9"/>
    <w:rsid w:val="004332F5"/>
    <w:rsid w:val="0044023B"/>
    <w:rsid w:val="00440777"/>
    <w:rsid w:val="00440937"/>
    <w:rsid w:val="00440BEB"/>
    <w:rsid w:val="00442DB6"/>
    <w:rsid w:val="0044497E"/>
    <w:rsid w:val="00450442"/>
    <w:rsid w:val="00451918"/>
    <w:rsid w:val="004521E9"/>
    <w:rsid w:val="0045295B"/>
    <w:rsid w:val="00453346"/>
    <w:rsid w:val="0045377C"/>
    <w:rsid w:val="00453F2C"/>
    <w:rsid w:val="004545FA"/>
    <w:rsid w:val="00465FDD"/>
    <w:rsid w:val="00470CD2"/>
    <w:rsid w:val="00470D5B"/>
    <w:rsid w:val="00471353"/>
    <w:rsid w:val="004726EE"/>
    <w:rsid w:val="00474014"/>
    <w:rsid w:val="00476348"/>
    <w:rsid w:val="004769DD"/>
    <w:rsid w:val="0047735E"/>
    <w:rsid w:val="00480519"/>
    <w:rsid w:val="0048091E"/>
    <w:rsid w:val="004816DD"/>
    <w:rsid w:val="004824C4"/>
    <w:rsid w:val="00484BE3"/>
    <w:rsid w:val="00484F32"/>
    <w:rsid w:val="00485BA2"/>
    <w:rsid w:val="0048702D"/>
    <w:rsid w:val="00487160"/>
    <w:rsid w:val="0049009A"/>
    <w:rsid w:val="00491A68"/>
    <w:rsid w:val="0049224B"/>
    <w:rsid w:val="0049228B"/>
    <w:rsid w:val="00493F96"/>
    <w:rsid w:val="004A0CD6"/>
    <w:rsid w:val="004A2175"/>
    <w:rsid w:val="004A3EE5"/>
    <w:rsid w:val="004A436D"/>
    <w:rsid w:val="004A44B5"/>
    <w:rsid w:val="004A5FAA"/>
    <w:rsid w:val="004A64CA"/>
    <w:rsid w:val="004A6A8F"/>
    <w:rsid w:val="004A7282"/>
    <w:rsid w:val="004B04EB"/>
    <w:rsid w:val="004B127D"/>
    <w:rsid w:val="004B5D10"/>
    <w:rsid w:val="004B710C"/>
    <w:rsid w:val="004C080C"/>
    <w:rsid w:val="004C284C"/>
    <w:rsid w:val="004C340B"/>
    <w:rsid w:val="004C3576"/>
    <w:rsid w:val="004C410A"/>
    <w:rsid w:val="004C6FA2"/>
    <w:rsid w:val="004C779F"/>
    <w:rsid w:val="004D0554"/>
    <w:rsid w:val="004D5F43"/>
    <w:rsid w:val="004E113B"/>
    <w:rsid w:val="004E14AE"/>
    <w:rsid w:val="004E24E5"/>
    <w:rsid w:val="004F23ED"/>
    <w:rsid w:val="004F2E01"/>
    <w:rsid w:val="004F4081"/>
    <w:rsid w:val="004F5339"/>
    <w:rsid w:val="004F6053"/>
    <w:rsid w:val="0050174F"/>
    <w:rsid w:val="005042C1"/>
    <w:rsid w:val="0050620A"/>
    <w:rsid w:val="00510B39"/>
    <w:rsid w:val="00510F77"/>
    <w:rsid w:val="00512890"/>
    <w:rsid w:val="00514AA5"/>
    <w:rsid w:val="005165AE"/>
    <w:rsid w:val="00522478"/>
    <w:rsid w:val="005224CC"/>
    <w:rsid w:val="005273DA"/>
    <w:rsid w:val="005278DD"/>
    <w:rsid w:val="00527973"/>
    <w:rsid w:val="0053141A"/>
    <w:rsid w:val="00532FAA"/>
    <w:rsid w:val="00536A8C"/>
    <w:rsid w:val="00536D54"/>
    <w:rsid w:val="00536E8C"/>
    <w:rsid w:val="005373F3"/>
    <w:rsid w:val="00541DF7"/>
    <w:rsid w:val="00543880"/>
    <w:rsid w:val="005449D4"/>
    <w:rsid w:val="00545ED2"/>
    <w:rsid w:val="005479BB"/>
    <w:rsid w:val="00547FEA"/>
    <w:rsid w:val="00552972"/>
    <w:rsid w:val="00554D59"/>
    <w:rsid w:val="00556AB4"/>
    <w:rsid w:val="005611B3"/>
    <w:rsid w:val="00561986"/>
    <w:rsid w:val="00564AC8"/>
    <w:rsid w:val="00570E73"/>
    <w:rsid w:val="0057156F"/>
    <w:rsid w:val="0057513B"/>
    <w:rsid w:val="005779CD"/>
    <w:rsid w:val="00581FCC"/>
    <w:rsid w:val="005825C7"/>
    <w:rsid w:val="00585674"/>
    <w:rsid w:val="00587330"/>
    <w:rsid w:val="0059569B"/>
    <w:rsid w:val="0059648A"/>
    <w:rsid w:val="005A1770"/>
    <w:rsid w:val="005A3DAF"/>
    <w:rsid w:val="005A53DA"/>
    <w:rsid w:val="005B0E77"/>
    <w:rsid w:val="005B1A29"/>
    <w:rsid w:val="005B2FF5"/>
    <w:rsid w:val="005B31E0"/>
    <w:rsid w:val="005B59B4"/>
    <w:rsid w:val="005B625E"/>
    <w:rsid w:val="005C15F1"/>
    <w:rsid w:val="005C3732"/>
    <w:rsid w:val="005C5877"/>
    <w:rsid w:val="005C6349"/>
    <w:rsid w:val="005D0425"/>
    <w:rsid w:val="005D0F07"/>
    <w:rsid w:val="005D454E"/>
    <w:rsid w:val="005D72A9"/>
    <w:rsid w:val="005E25AE"/>
    <w:rsid w:val="005E2820"/>
    <w:rsid w:val="005E6295"/>
    <w:rsid w:val="005E675E"/>
    <w:rsid w:val="005F231E"/>
    <w:rsid w:val="005F3FAF"/>
    <w:rsid w:val="005F4EDA"/>
    <w:rsid w:val="0060008A"/>
    <w:rsid w:val="0060010A"/>
    <w:rsid w:val="006010B0"/>
    <w:rsid w:val="00602EF1"/>
    <w:rsid w:val="00603558"/>
    <w:rsid w:val="0060483D"/>
    <w:rsid w:val="006072EF"/>
    <w:rsid w:val="006073D8"/>
    <w:rsid w:val="006117B7"/>
    <w:rsid w:val="00611C1B"/>
    <w:rsid w:val="006133DA"/>
    <w:rsid w:val="006142C8"/>
    <w:rsid w:val="00616D66"/>
    <w:rsid w:val="00617C26"/>
    <w:rsid w:val="006214EF"/>
    <w:rsid w:val="0062766B"/>
    <w:rsid w:val="006276EF"/>
    <w:rsid w:val="00631721"/>
    <w:rsid w:val="0063348E"/>
    <w:rsid w:val="0063596C"/>
    <w:rsid w:val="00636364"/>
    <w:rsid w:val="00637635"/>
    <w:rsid w:val="00640BEC"/>
    <w:rsid w:val="006430E1"/>
    <w:rsid w:val="006442BB"/>
    <w:rsid w:val="0064450E"/>
    <w:rsid w:val="0064572F"/>
    <w:rsid w:val="0064639E"/>
    <w:rsid w:val="0064717F"/>
    <w:rsid w:val="00647500"/>
    <w:rsid w:val="00647866"/>
    <w:rsid w:val="00651B46"/>
    <w:rsid w:val="00655C6F"/>
    <w:rsid w:val="00660137"/>
    <w:rsid w:val="0066065A"/>
    <w:rsid w:val="006607CD"/>
    <w:rsid w:val="0066377E"/>
    <w:rsid w:val="00663992"/>
    <w:rsid w:val="00666E7C"/>
    <w:rsid w:val="00670773"/>
    <w:rsid w:val="00672174"/>
    <w:rsid w:val="00672787"/>
    <w:rsid w:val="00672AA1"/>
    <w:rsid w:val="0067391A"/>
    <w:rsid w:val="00674136"/>
    <w:rsid w:val="006741FE"/>
    <w:rsid w:val="00675864"/>
    <w:rsid w:val="0067799A"/>
    <w:rsid w:val="00677B9D"/>
    <w:rsid w:val="00680C95"/>
    <w:rsid w:val="006815CE"/>
    <w:rsid w:val="00682891"/>
    <w:rsid w:val="006837F8"/>
    <w:rsid w:val="00683C09"/>
    <w:rsid w:val="00686B8F"/>
    <w:rsid w:val="00691CBC"/>
    <w:rsid w:val="0069286A"/>
    <w:rsid w:val="006931C5"/>
    <w:rsid w:val="00694BD4"/>
    <w:rsid w:val="00696F28"/>
    <w:rsid w:val="00697BAD"/>
    <w:rsid w:val="006A24E1"/>
    <w:rsid w:val="006A489B"/>
    <w:rsid w:val="006B0709"/>
    <w:rsid w:val="006B0FC2"/>
    <w:rsid w:val="006B14E5"/>
    <w:rsid w:val="006B3584"/>
    <w:rsid w:val="006B435F"/>
    <w:rsid w:val="006B696B"/>
    <w:rsid w:val="006B6A50"/>
    <w:rsid w:val="006C0FA0"/>
    <w:rsid w:val="006C36A8"/>
    <w:rsid w:val="006C6014"/>
    <w:rsid w:val="006D02A4"/>
    <w:rsid w:val="006D0A61"/>
    <w:rsid w:val="006D0EE4"/>
    <w:rsid w:val="006D224E"/>
    <w:rsid w:val="006D35F0"/>
    <w:rsid w:val="006D4C95"/>
    <w:rsid w:val="006D55F5"/>
    <w:rsid w:val="006D7113"/>
    <w:rsid w:val="006D7C93"/>
    <w:rsid w:val="006E036D"/>
    <w:rsid w:val="006E06B2"/>
    <w:rsid w:val="006E1109"/>
    <w:rsid w:val="006E35D1"/>
    <w:rsid w:val="006E4D75"/>
    <w:rsid w:val="006E7BE9"/>
    <w:rsid w:val="006E7FE5"/>
    <w:rsid w:val="006F137D"/>
    <w:rsid w:val="006F20D8"/>
    <w:rsid w:val="006F2F25"/>
    <w:rsid w:val="006F3266"/>
    <w:rsid w:val="006F3921"/>
    <w:rsid w:val="006F5708"/>
    <w:rsid w:val="006F589E"/>
    <w:rsid w:val="006F7880"/>
    <w:rsid w:val="00700FC1"/>
    <w:rsid w:val="00701E12"/>
    <w:rsid w:val="007064F0"/>
    <w:rsid w:val="00706649"/>
    <w:rsid w:val="007071A8"/>
    <w:rsid w:val="00710AC7"/>
    <w:rsid w:val="00710E5E"/>
    <w:rsid w:val="0071336F"/>
    <w:rsid w:val="00714AC8"/>
    <w:rsid w:val="00717EE5"/>
    <w:rsid w:val="00721716"/>
    <w:rsid w:val="0072357F"/>
    <w:rsid w:val="00727359"/>
    <w:rsid w:val="007333DC"/>
    <w:rsid w:val="00734441"/>
    <w:rsid w:val="00734F2C"/>
    <w:rsid w:val="00736F1A"/>
    <w:rsid w:val="00747998"/>
    <w:rsid w:val="00750674"/>
    <w:rsid w:val="007511F9"/>
    <w:rsid w:val="0075162C"/>
    <w:rsid w:val="007518FF"/>
    <w:rsid w:val="007528DF"/>
    <w:rsid w:val="0075412F"/>
    <w:rsid w:val="00756B44"/>
    <w:rsid w:val="00762177"/>
    <w:rsid w:val="00764E7D"/>
    <w:rsid w:val="00765160"/>
    <w:rsid w:val="007667DC"/>
    <w:rsid w:val="00767615"/>
    <w:rsid w:val="0077327F"/>
    <w:rsid w:val="007741D7"/>
    <w:rsid w:val="007751BF"/>
    <w:rsid w:val="0077551E"/>
    <w:rsid w:val="007769C5"/>
    <w:rsid w:val="007773FA"/>
    <w:rsid w:val="00777987"/>
    <w:rsid w:val="00782287"/>
    <w:rsid w:val="007878CE"/>
    <w:rsid w:val="00791256"/>
    <w:rsid w:val="007918F7"/>
    <w:rsid w:val="00796CAE"/>
    <w:rsid w:val="007A0B25"/>
    <w:rsid w:val="007A15B4"/>
    <w:rsid w:val="007A16DF"/>
    <w:rsid w:val="007A2831"/>
    <w:rsid w:val="007A471E"/>
    <w:rsid w:val="007A4C08"/>
    <w:rsid w:val="007A67EB"/>
    <w:rsid w:val="007B2F3A"/>
    <w:rsid w:val="007B3AB2"/>
    <w:rsid w:val="007B4172"/>
    <w:rsid w:val="007B6454"/>
    <w:rsid w:val="007B73E6"/>
    <w:rsid w:val="007C13DF"/>
    <w:rsid w:val="007C1AA2"/>
    <w:rsid w:val="007D0967"/>
    <w:rsid w:val="007D3B1D"/>
    <w:rsid w:val="007D42E4"/>
    <w:rsid w:val="007D4565"/>
    <w:rsid w:val="007D57F9"/>
    <w:rsid w:val="007D7BB1"/>
    <w:rsid w:val="007E0071"/>
    <w:rsid w:val="007E059A"/>
    <w:rsid w:val="007E38F7"/>
    <w:rsid w:val="007E6C97"/>
    <w:rsid w:val="007F5995"/>
    <w:rsid w:val="007F5A04"/>
    <w:rsid w:val="007F6419"/>
    <w:rsid w:val="0080171E"/>
    <w:rsid w:val="00801CA5"/>
    <w:rsid w:val="00802F16"/>
    <w:rsid w:val="00806F60"/>
    <w:rsid w:val="00813740"/>
    <w:rsid w:val="00813C7F"/>
    <w:rsid w:val="00822CEB"/>
    <w:rsid w:val="00824072"/>
    <w:rsid w:val="00824243"/>
    <w:rsid w:val="0082464F"/>
    <w:rsid w:val="008251E1"/>
    <w:rsid w:val="00825B42"/>
    <w:rsid w:val="00825B91"/>
    <w:rsid w:val="0083196C"/>
    <w:rsid w:val="00833BBF"/>
    <w:rsid w:val="00837A8A"/>
    <w:rsid w:val="00841DFF"/>
    <w:rsid w:val="0084396B"/>
    <w:rsid w:val="0084416A"/>
    <w:rsid w:val="00844C1C"/>
    <w:rsid w:val="008456AE"/>
    <w:rsid w:val="00847631"/>
    <w:rsid w:val="00847C26"/>
    <w:rsid w:val="00860564"/>
    <w:rsid w:val="00870438"/>
    <w:rsid w:val="0087278E"/>
    <w:rsid w:val="00874820"/>
    <w:rsid w:val="00874C60"/>
    <w:rsid w:val="00874E97"/>
    <w:rsid w:val="00875AB1"/>
    <w:rsid w:val="00877C0C"/>
    <w:rsid w:val="0088422A"/>
    <w:rsid w:val="00892704"/>
    <w:rsid w:val="008A0D3A"/>
    <w:rsid w:val="008A0F78"/>
    <w:rsid w:val="008A15AD"/>
    <w:rsid w:val="008A5730"/>
    <w:rsid w:val="008B0B0A"/>
    <w:rsid w:val="008B14F0"/>
    <w:rsid w:val="008B221C"/>
    <w:rsid w:val="008B28C9"/>
    <w:rsid w:val="008B2AAB"/>
    <w:rsid w:val="008B4D3C"/>
    <w:rsid w:val="008B6B36"/>
    <w:rsid w:val="008B7FD6"/>
    <w:rsid w:val="008C7AF5"/>
    <w:rsid w:val="008D1F0B"/>
    <w:rsid w:val="008D3D53"/>
    <w:rsid w:val="008D4F30"/>
    <w:rsid w:val="008D5772"/>
    <w:rsid w:val="008E082C"/>
    <w:rsid w:val="008E0CB0"/>
    <w:rsid w:val="008E1140"/>
    <w:rsid w:val="008E2DBB"/>
    <w:rsid w:val="008E46EA"/>
    <w:rsid w:val="008E63D3"/>
    <w:rsid w:val="008E6AED"/>
    <w:rsid w:val="008F4308"/>
    <w:rsid w:val="008F4FA1"/>
    <w:rsid w:val="008F50F8"/>
    <w:rsid w:val="008F5DEA"/>
    <w:rsid w:val="00901123"/>
    <w:rsid w:val="00902414"/>
    <w:rsid w:val="009025AD"/>
    <w:rsid w:val="00902C29"/>
    <w:rsid w:val="00903623"/>
    <w:rsid w:val="0090607B"/>
    <w:rsid w:val="00910387"/>
    <w:rsid w:val="00911C25"/>
    <w:rsid w:val="00914D50"/>
    <w:rsid w:val="00914E2A"/>
    <w:rsid w:val="00916191"/>
    <w:rsid w:val="00916F41"/>
    <w:rsid w:val="009214D4"/>
    <w:rsid w:val="009278EA"/>
    <w:rsid w:val="00935E0A"/>
    <w:rsid w:val="00936B0A"/>
    <w:rsid w:val="00936FEE"/>
    <w:rsid w:val="009406FB"/>
    <w:rsid w:val="00940AF7"/>
    <w:rsid w:val="00941001"/>
    <w:rsid w:val="00941640"/>
    <w:rsid w:val="009437E4"/>
    <w:rsid w:val="009438F9"/>
    <w:rsid w:val="00947EEF"/>
    <w:rsid w:val="0095327A"/>
    <w:rsid w:val="009548E0"/>
    <w:rsid w:val="00956434"/>
    <w:rsid w:val="0096297C"/>
    <w:rsid w:val="0096473E"/>
    <w:rsid w:val="00965B4D"/>
    <w:rsid w:val="0096661F"/>
    <w:rsid w:val="009713A2"/>
    <w:rsid w:val="009719A4"/>
    <w:rsid w:val="00972D99"/>
    <w:rsid w:val="009734C4"/>
    <w:rsid w:val="009751F3"/>
    <w:rsid w:val="00983160"/>
    <w:rsid w:val="009833A8"/>
    <w:rsid w:val="00983D39"/>
    <w:rsid w:val="00984295"/>
    <w:rsid w:val="009846AC"/>
    <w:rsid w:val="0098539C"/>
    <w:rsid w:val="009868FF"/>
    <w:rsid w:val="0099171F"/>
    <w:rsid w:val="009919A5"/>
    <w:rsid w:val="00992567"/>
    <w:rsid w:val="00993296"/>
    <w:rsid w:val="009A24A2"/>
    <w:rsid w:val="009A49D1"/>
    <w:rsid w:val="009A50B2"/>
    <w:rsid w:val="009A6C79"/>
    <w:rsid w:val="009A72BE"/>
    <w:rsid w:val="009B1074"/>
    <w:rsid w:val="009B1D99"/>
    <w:rsid w:val="009B2D23"/>
    <w:rsid w:val="009B7E34"/>
    <w:rsid w:val="009C0D17"/>
    <w:rsid w:val="009C1819"/>
    <w:rsid w:val="009C35E0"/>
    <w:rsid w:val="009C390F"/>
    <w:rsid w:val="009C3DC5"/>
    <w:rsid w:val="009D07A9"/>
    <w:rsid w:val="009D1143"/>
    <w:rsid w:val="009D3936"/>
    <w:rsid w:val="009D59D1"/>
    <w:rsid w:val="009D7311"/>
    <w:rsid w:val="009D79F3"/>
    <w:rsid w:val="009E229E"/>
    <w:rsid w:val="009E2C15"/>
    <w:rsid w:val="009F15AB"/>
    <w:rsid w:val="009F2D13"/>
    <w:rsid w:val="009F3EB7"/>
    <w:rsid w:val="009F40C7"/>
    <w:rsid w:val="00A017AF"/>
    <w:rsid w:val="00A02BA0"/>
    <w:rsid w:val="00A03575"/>
    <w:rsid w:val="00A0372A"/>
    <w:rsid w:val="00A04C51"/>
    <w:rsid w:val="00A06683"/>
    <w:rsid w:val="00A0727A"/>
    <w:rsid w:val="00A07BAA"/>
    <w:rsid w:val="00A1039C"/>
    <w:rsid w:val="00A11DBB"/>
    <w:rsid w:val="00A14C89"/>
    <w:rsid w:val="00A14E77"/>
    <w:rsid w:val="00A15011"/>
    <w:rsid w:val="00A1714F"/>
    <w:rsid w:val="00A17BA2"/>
    <w:rsid w:val="00A252B1"/>
    <w:rsid w:val="00A25C42"/>
    <w:rsid w:val="00A303DE"/>
    <w:rsid w:val="00A3194F"/>
    <w:rsid w:val="00A3205A"/>
    <w:rsid w:val="00A337AE"/>
    <w:rsid w:val="00A35ED4"/>
    <w:rsid w:val="00A37122"/>
    <w:rsid w:val="00A37FA8"/>
    <w:rsid w:val="00A4173C"/>
    <w:rsid w:val="00A4418A"/>
    <w:rsid w:val="00A46D0E"/>
    <w:rsid w:val="00A47668"/>
    <w:rsid w:val="00A47FE3"/>
    <w:rsid w:val="00A53368"/>
    <w:rsid w:val="00A60B3E"/>
    <w:rsid w:val="00A620A8"/>
    <w:rsid w:val="00A628E9"/>
    <w:rsid w:val="00A63481"/>
    <w:rsid w:val="00A67510"/>
    <w:rsid w:val="00A67C05"/>
    <w:rsid w:val="00A67CC6"/>
    <w:rsid w:val="00A70430"/>
    <w:rsid w:val="00A70563"/>
    <w:rsid w:val="00A71FD7"/>
    <w:rsid w:val="00A734EA"/>
    <w:rsid w:val="00A73EDA"/>
    <w:rsid w:val="00A75881"/>
    <w:rsid w:val="00A83EC3"/>
    <w:rsid w:val="00A900A3"/>
    <w:rsid w:val="00A90F1D"/>
    <w:rsid w:val="00A91191"/>
    <w:rsid w:val="00A92736"/>
    <w:rsid w:val="00A929BB"/>
    <w:rsid w:val="00A93FCE"/>
    <w:rsid w:val="00A946E1"/>
    <w:rsid w:val="00A97EA9"/>
    <w:rsid w:val="00AA4508"/>
    <w:rsid w:val="00AA4BFB"/>
    <w:rsid w:val="00AA6BF8"/>
    <w:rsid w:val="00AA7BE9"/>
    <w:rsid w:val="00AB10A4"/>
    <w:rsid w:val="00AB26D5"/>
    <w:rsid w:val="00AB3CBC"/>
    <w:rsid w:val="00AC212F"/>
    <w:rsid w:val="00AC376E"/>
    <w:rsid w:val="00AC394E"/>
    <w:rsid w:val="00AC6D69"/>
    <w:rsid w:val="00AD00C6"/>
    <w:rsid w:val="00AD54D7"/>
    <w:rsid w:val="00AE2A5F"/>
    <w:rsid w:val="00AE2BB5"/>
    <w:rsid w:val="00AE3897"/>
    <w:rsid w:val="00AE4233"/>
    <w:rsid w:val="00AE5661"/>
    <w:rsid w:val="00AE6334"/>
    <w:rsid w:val="00AE667D"/>
    <w:rsid w:val="00AE66D9"/>
    <w:rsid w:val="00AE6F01"/>
    <w:rsid w:val="00AE79FF"/>
    <w:rsid w:val="00AF04FB"/>
    <w:rsid w:val="00AF34E2"/>
    <w:rsid w:val="00AF4D63"/>
    <w:rsid w:val="00AF50D4"/>
    <w:rsid w:val="00AF7624"/>
    <w:rsid w:val="00B014F5"/>
    <w:rsid w:val="00B03972"/>
    <w:rsid w:val="00B04BBA"/>
    <w:rsid w:val="00B12121"/>
    <w:rsid w:val="00B12487"/>
    <w:rsid w:val="00B12DAF"/>
    <w:rsid w:val="00B13EFF"/>
    <w:rsid w:val="00B1498C"/>
    <w:rsid w:val="00B14D3C"/>
    <w:rsid w:val="00B156C1"/>
    <w:rsid w:val="00B161A4"/>
    <w:rsid w:val="00B167C7"/>
    <w:rsid w:val="00B16F07"/>
    <w:rsid w:val="00B170B3"/>
    <w:rsid w:val="00B209E9"/>
    <w:rsid w:val="00B21359"/>
    <w:rsid w:val="00B22743"/>
    <w:rsid w:val="00B23E3C"/>
    <w:rsid w:val="00B243C2"/>
    <w:rsid w:val="00B25472"/>
    <w:rsid w:val="00B26728"/>
    <w:rsid w:val="00B27D82"/>
    <w:rsid w:val="00B31DEE"/>
    <w:rsid w:val="00B33F2B"/>
    <w:rsid w:val="00B34176"/>
    <w:rsid w:val="00B34A99"/>
    <w:rsid w:val="00B37B7B"/>
    <w:rsid w:val="00B41338"/>
    <w:rsid w:val="00B41B31"/>
    <w:rsid w:val="00B459A2"/>
    <w:rsid w:val="00B51759"/>
    <w:rsid w:val="00B5458E"/>
    <w:rsid w:val="00B56EF2"/>
    <w:rsid w:val="00B60BF0"/>
    <w:rsid w:val="00B65F94"/>
    <w:rsid w:val="00B66B73"/>
    <w:rsid w:val="00B71A52"/>
    <w:rsid w:val="00B73F2F"/>
    <w:rsid w:val="00B743C9"/>
    <w:rsid w:val="00B76240"/>
    <w:rsid w:val="00B76A63"/>
    <w:rsid w:val="00B8014A"/>
    <w:rsid w:val="00B81F6A"/>
    <w:rsid w:val="00B83080"/>
    <w:rsid w:val="00B85337"/>
    <w:rsid w:val="00B86BE7"/>
    <w:rsid w:val="00B877E2"/>
    <w:rsid w:val="00B87B2E"/>
    <w:rsid w:val="00B91DBE"/>
    <w:rsid w:val="00B95377"/>
    <w:rsid w:val="00B95ACE"/>
    <w:rsid w:val="00B9698F"/>
    <w:rsid w:val="00B96DEF"/>
    <w:rsid w:val="00BA0C14"/>
    <w:rsid w:val="00BA6500"/>
    <w:rsid w:val="00BB0450"/>
    <w:rsid w:val="00BB0EE5"/>
    <w:rsid w:val="00BB1014"/>
    <w:rsid w:val="00BB1894"/>
    <w:rsid w:val="00BB686E"/>
    <w:rsid w:val="00BB6CB6"/>
    <w:rsid w:val="00BB79DE"/>
    <w:rsid w:val="00BC1FCF"/>
    <w:rsid w:val="00BC3F5F"/>
    <w:rsid w:val="00BC6286"/>
    <w:rsid w:val="00BC786C"/>
    <w:rsid w:val="00BC7AD4"/>
    <w:rsid w:val="00BD2D73"/>
    <w:rsid w:val="00BD5FD2"/>
    <w:rsid w:val="00BD6039"/>
    <w:rsid w:val="00BE33C7"/>
    <w:rsid w:val="00BE68EB"/>
    <w:rsid w:val="00BE6FD0"/>
    <w:rsid w:val="00BE7DBA"/>
    <w:rsid w:val="00BF24E6"/>
    <w:rsid w:val="00BF764A"/>
    <w:rsid w:val="00C05AE2"/>
    <w:rsid w:val="00C062D1"/>
    <w:rsid w:val="00C06AF0"/>
    <w:rsid w:val="00C10D09"/>
    <w:rsid w:val="00C12C3F"/>
    <w:rsid w:val="00C142A0"/>
    <w:rsid w:val="00C14461"/>
    <w:rsid w:val="00C14EC2"/>
    <w:rsid w:val="00C152B3"/>
    <w:rsid w:val="00C164DB"/>
    <w:rsid w:val="00C17303"/>
    <w:rsid w:val="00C17A25"/>
    <w:rsid w:val="00C21742"/>
    <w:rsid w:val="00C21CE5"/>
    <w:rsid w:val="00C237DA"/>
    <w:rsid w:val="00C25044"/>
    <w:rsid w:val="00C26BAF"/>
    <w:rsid w:val="00C26E30"/>
    <w:rsid w:val="00C27917"/>
    <w:rsid w:val="00C300FB"/>
    <w:rsid w:val="00C31375"/>
    <w:rsid w:val="00C31DAB"/>
    <w:rsid w:val="00C32C96"/>
    <w:rsid w:val="00C34215"/>
    <w:rsid w:val="00C363EB"/>
    <w:rsid w:val="00C37C77"/>
    <w:rsid w:val="00C40663"/>
    <w:rsid w:val="00C4130C"/>
    <w:rsid w:val="00C421F2"/>
    <w:rsid w:val="00C43ADB"/>
    <w:rsid w:val="00C45259"/>
    <w:rsid w:val="00C456C9"/>
    <w:rsid w:val="00C45C29"/>
    <w:rsid w:val="00C53097"/>
    <w:rsid w:val="00C53912"/>
    <w:rsid w:val="00C54806"/>
    <w:rsid w:val="00C55691"/>
    <w:rsid w:val="00C613D8"/>
    <w:rsid w:val="00C62B3B"/>
    <w:rsid w:val="00C64979"/>
    <w:rsid w:val="00C7032E"/>
    <w:rsid w:val="00C7382D"/>
    <w:rsid w:val="00C739A6"/>
    <w:rsid w:val="00C74110"/>
    <w:rsid w:val="00C767EB"/>
    <w:rsid w:val="00C7785C"/>
    <w:rsid w:val="00C81D76"/>
    <w:rsid w:val="00C8278E"/>
    <w:rsid w:val="00C85CC4"/>
    <w:rsid w:val="00C87652"/>
    <w:rsid w:val="00C87920"/>
    <w:rsid w:val="00C90CC9"/>
    <w:rsid w:val="00C91D20"/>
    <w:rsid w:val="00C92A9C"/>
    <w:rsid w:val="00C92DF4"/>
    <w:rsid w:val="00C946CA"/>
    <w:rsid w:val="00CA1574"/>
    <w:rsid w:val="00CA2496"/>
    <w:rsid w:val="00CA2616"/>
    <w:rsid w:val="00CA2884"/>
    <w:rsid w:val="00CA456D"/>
    <w:rsid w:val="00CA4666"/>
    <w:rsid w:val="00CB005B"/>
    <w:rsid w:val="00CB0B01"/>
    <w:rsid w:val="00CB0B59"/>
    <w:rsid w:val="00CB2A6C"/>
    <w:rsid w:val="00CB54FA"/>
    <w:rsid w:val="00CB6E21"/>
    <w:rsid w:val="00CC0FB5"/>
    <w:rsid w:val="00CC3CB2"/>
    <w:rsid w:val="00CC49DA"/>
    <w:rsid w:val="00CC6D53"/>
    <w:rsid w:val="00CC6F3F"/>
    <w:rsid w:val="00CD2D66"/>
    <w:rsid w:val="00CD3363"/>
    <w:rsid w:val="00CD3AEF"/>
    <w:rsid w:val="00CD5066"/>
    <w:rsid w:val="00CD6F84"/>
    <w:rsid w:val="00CD7DE2"/>
    <w:rsid w:val="00CE264A"/>
    <w:rsid w:val="00CE487E"/>
    <w:rsid w:val="00CE4E79"/>
    <w:rsid w:val="00CE4EA4"/>
    <w:rsid w:val="00CE5443"/>
    <w:rsid w:val="00CE5ACE"/>
    <w:rsid w:val="00CE673C"/>
    <w:rsid w:val="00CE72F4"/>
    <w:rsid w:val="00CE765F"/>
    <w:rsid w:val="00CF0D85"/>
    <w:rsid w:val="00CF1F10"/>
    <w:rsid w:val="00CF2216"/>
    <w:rsid w:val="00CF2B06"/>
    <w:rsid w:val="00CF59BE"/>
    <w:rsid w:val="00CF5AC0"/>
    <w:rsid w:val="00CF685F"/>
    <w:rsid w:val="00CF7E3F"/>
    <w:rsid w:val="00D0054C"/>
    <w:rsid w:val="00D016DA"/>
    <w:rsid w:val="00D0174C"/>
    <w:rsid w:val="00D01EA8"/>
    <w:rsid w:val="00D0472B"/>
    <w:rsid w:val="00D11108"/>
    <w:rsid w:val="00D158E4"/>
    <w:rsid w:val="00D167B6"/>
    <w:rsid w:val="00D200E5"/>
    <w:rsid w:val="00D216CB"/>
    <w:rsid w:val="00D22B9A"/>
    <w:rsid w:val="00D23734"/>
    <w:rsid w:val="00D2380E"/>
    <w:rsid w:val="00D353A7"/>
    <w:rsid w:val="00D35912"/>
    <w:rsid w:val="00D3642D"/>
    <w:rsid w:val="00D375BD"/>
    <w:rsid w:val="00D375DA"/>
    <w:rsid w:val="00D37793"/>
    <w:rsid w:val="00D37E7A"/>
    <w:rsid w:val="00D40EF6"/>
    <w:rsid w:val="00D4108D"/>
    <w:rsid w:val="00D4128B"/>
    <w:rsid w:val="00D42484"/>
    <w:rsid w:val="00D424CF"/>
    <w:rsid w:val="00D44E93"/>
    <w:rsid w:val="00D51996"/>
    <w:rsid w:val="00D54591"/>
    <w:rsid w:val="00D60B3D"/>
    <w:rsid w:val="00D63902"/>
    <w:rsid w:val="00D63D5B"/>
    <w:rsid w:val="00D6780D"/>
    <w:rsid w:val="00D71090"/>
    <w:rsid w:val="00D7199B"/>
    <w:rsid w:val="00D72045"/>
    <w:rsid w:val="00D74144"/>
    <w:rsid w:val="00D747EF"/>
    <w:rsid w:val="00D747F0"/>
    <w:rsid w:val="00D75385"/>
    <w:rsid w:val="00D76D36"/>
    <w:rsid w:val="00D8157F"/>
    <w:rsid w:val="00D872A3"/>
    <w:rsid w:val="00D874EB"/>
    <w:rsid w:val="00D8779F"/>
    <w:rsid w:val="00D904CD"/>
    <w:rsid w:val="00D90A34"/>
    <w:rsid w:val="00D91578"/>
    <w:rsid w:val="00D97F5B"/>
    <w:rsid w:val="00DA1CBB"/>
    <w:rsid w:val="00DA2C88"/>
    <w:rsid w:val="00DA302B"/>
    <w:rsid w:val="00DA328F"/>
    <w:rsid w:val="00DB3769"/>
    <w:rsid w:val="00DB7FD4"/>
    <w:rsid w:val="00DB7FE1"/>
    <w:rsid w:val="00DC0F6B"/>
    <w:rsid w:val="00DC2220"/>
    <w:rsid w:val="00DC336A"/>
    <w:rsid w:val="00DC61BA"/>
    <w:rsid w:val="00DC6B28"/>
    <w:rsid w:val="00DC7FF7"/>
    <w:rsid w:val="00DD1D1B"/>
    <w:rsid w:val="00DD540A"/>
    <w:rsid w:val="00DD5636"/>
    <w:rsid w:val="00DE06BC"/>
    <w:rsid w:val="00DE2C15"/>
    <w:rsid w:val="00DE31D4"/>
    <w:rsid w:val="00DE31EA"/>
    <w:rsid w:val="00DE35B3"/>
    <w:rsid w:val="00DE38AF"/>
    <w:rsid w:val="00DE6230"/>
    <w:rsid w:val="00DF0739"/>
    <w:rsid w:val="00DF1564"/>
    <w:rsid w:val="00DF25CD"/>
    <w:rsid w:val="00DF4CDA"/>
    <w:rsid w:val="00DF4ED7"/>
    <w:rsid w:val="00DF66F8"/>
    <w:rsid w:val="00DF6E82"/>
    <w:rsid w:val="00DF7C14"/>
    <w:rsid w:val="00DF7CD6"/>
    <w:rsid w:val="00DF7E8E"/>
    <w:rsid w:val="00E02F87"/>
    <w:rsid w:val="00E04F5C"/>
    <w:rsid w:val="00E0608F"/>
    <w:rsid w:val="00E21FDE"/>
    <w:rsid w:val="00E23BD4"/>
    <w:rsid w:val="00E24CE4"/>
    <w:rsid w:val="00E252F6"/>
    <w:rsid w:val="00E25726"/>
    <w:rsid w:val="00E31B0A"/>
    <w:rsid w:val="00E3569C"/>
    <w:rsid w:val="00E42168"/>
    <w:rsid w:val="00E43D68"/>
    <w:rsid w:val="00E47C0A"/>
    <w:rsid w:val="00E57E3B"/>
    <w:rsid w:val="00E6118D"/>
    <w:rsid w:val="00E6216F"/>
    <w:rsid w:val="00E62461"/>
    <w:rsid w:val="00E63469"/>
    <w:rsid w:val="00E63687"/>
    <w:rsid w:val="00E67B30"/>
    <w:rsid w:val="00E67E9C"/>
    <w:rsid w:val="00E7050E"/>
    <w:rsid w:val="00E708EC"/>
    <w:rsid w:val="00E7114D"/>
    <w:rsid w:val="00E73183"/>
    <w:rsid w:val="00E73FFD"/>
    <w:rsid w:val="00E75AAF"/>
    <w:rsid w:val="00E76099"/>
    <w:rsid w:val="00E77490"/>
    <w:rsid w:val="00E77575"/>
    <w:rsid w:val="00E779CA"/>
    <w:rsid w:val="00E77BBD"/>
    <w:rsid w:val="00E77EF3"/>
    <w:rsid w:val="00E83D6D"/>
    <w:rsid w:val="00E8488E"/>
    <w:rsid w:val="00E860DE"/>
    <w:rsid w:val="00E861CD"/>
    <w:rsid w:val="00E9041D"/>
    <w:rsid w:val="00E91109"/>
    <w:rsid w:val="00E93D1D"/>
    <w:rsid w:val="00E94AF9"/>
    <w:rsid w:val="00E95735"/>
    <w:rsid w:val="00E95835"/>
    <w:rsid w:val="00E97E7C"/>
    <w:rsid w:val="00EA0C56"/>
    <w:rsid w:val="00EA0DB6"/>
    <w:rsid w:val="00EA17EE"/>
    <w:rsid w:val="00EA1EFE"/>
    <w:rsid w:val="00EA2428"/>
    <w:rsid w:val="00EA25CA"/>
    <w:rsid w:val="00EA6556"/>
    <w:rsid w:val="00EA6E6D"/>
    <w:rsid w:val="00EA7D8A"/>
    <w:rsid w:val="00EA7F85"/>
    <w:rsid w:val="00EB015A"/>
    <w:rsid w:val="00EB3981"/>
    <w:rsid w:val="00EB3C99"/>
    <w:rsid w:val="00EB3D0F"/>
    <w:rsid w:val="00EB7FEB"/>
    <w:rsid w:val="00EC1C78"/>
    <w:rsid w:val="00EC31D3"/>
    <w:rsid w:val="00EC4161"/>
    <w:rsid w:val="00EC41EF"/>
    <w:rsid w:val="00EC7D46"/>
    <w:rsid w:val="00ED0853"/>
    <w:rsid w:val="00ED0C2D"/>
    <w:rsid w:val="00ED1426"/>
    <w:rsid w:val="00ED21A0"/>
    <w:rsid w:val="00ED2456"/>
    <w:rsid w:val="00ED44DC"/>
    <w:rsid w:val="00ED750A"/>
    <w:rsid w:val="00EE012A"/>
    <w:rsid w:val="00EE2526"/>
    <w:rsid w:val="00EE3C4B"/>
    <w:rsid w:val="00EE65C9"/>
    <w:rsid w:val="00EF0F8B"/>
    <w:rsid w:val="00EF1312"/>
    <w:rsid w:val="00EF1C91"/>
    <w:rsid w:val="00EF69E9"/>
    <w:rsid w:val="00F01EB5"/>
    <w:rsid w:val="00F050FA"/>
    <w:rsid w:val="00F05138"/>
    <w:rsid w:val="00F105B0"/>
    <w:rsid w:val="00F11497"/>
    <w:rsid w:val="00F14717"/>
    <w:rsid w:val="00F2313C"/>
    <w:rsid w:val="00F24DAB"/>
    <w:rsid w:val="00F25E8A"/>
    <w:rsid w:val="00F30883"/>
    <w:rsid w:val="00F3097C"/>
    <w:rsid w:val="00F30B30"/>
    <w:rsid w:val="00F315FD"/>
    <w:rsid w:val="00F318CE"/>
    <w:rsid w:val="00F32B40"/>
    <w:rsid w:val="00F35B26"/>
    <w:rsid w:val="00F35B8F"/>
    <w:rsid w:val="00F35F28"/>
    <w:rsid w:val="00F40B65"/>
    <w:rsid w:val="00F440C2"/>
    <w:rsid w:val="00F4475E"/>
    <w:rsid w:val="00F46A8D"/>
    <w:rsid w:val="00F46FB1"/>
    <w:rsid w:val="00F47ECC"/>
    <w:rsid w:val="00F52266"/>
    <w:rsid w:val="00F53BD8"/>
    <w:rsid w:val="00F54E9D"/>
    <w:rsid w:val="00F572CE"/>
    <w:rsid w:val="00F6075A"/>
    <w:rsid w:val="00F611F1"/>
    <w:rsid w:val="00F62829"/>
    <w:rsid w:val="00F63D60"/>
    <w:rsid w:val="00F66724"/>
    <w:rsid w:val="00F70801"/>
    <w:rsid w:val="00F70AF1"/>
    <w:rsid w:val="00F71F69"/>
    <w:rsid w:val="00F72592"/>
    <w:rsid w:val="00F74598"/>
    <w:rsid w:val="00F81DE5"/>
    <w:rsid w:val="00F821C7"/>
    <w:rsid w:val="00F8446E"/>
    <w:rsid w:val="00F8520A"/>
    <w:rsid w:val="00F871E5"/>
    <w:rsid w:val="00F87CD3"/>
    <w:rsid w:val="00F905E9"/>
    <w:rsid w:val="00F91F7C"/>
    <w:rsid w:val="00F9290C"/>
    <w:rsid w:val="00F95E2A"/>
    <w:rsid w:val="00F96156"/>
    <w:rsid w:val="00FA0B62"/>
    <w:rsid w:val="00FA0EFD"/>
    <w:rsid w:val="00FA23EF"/>
    <w:rsid w:val="00FA4AF6"/>
    <w:rsid w:val="00FA4E6D"/>
    <w:rsid w:val="00FA5589"/>
    <w:rsid w:val="00FA6586"/>
    <w:rsid w:val="00FB0494"/>
    <w:rsid w:val="00FB06A5"/>
    <w:rsid w:val="00FB648D"/>
    <w:rsid w:val="00FB6B2F"/>
    <w:rsid w:val="00FC170C"/>
    <w:rsid w:val="00FC21CA"/>
    <w:rsid w:val="00FC251B"/>
    <w:rsid w:val="00FC38DC"/>
    <w:rsid w:val="00FC4D45"/>
    <w:rsid w:val="00FC567C"/>
    <w:rsid w:val="00FC66E9"/>
    <w:rsid w:val="00FD26FA"/>
    <w:rsid w:val="00FD7449"/>
    <w:rsid w:val="00FE0A02"/>
    <w:rsid w:val="00FE35E4"/>
    <w:rsid w:val="00FE4D77"/>
    <w:rsid w:val="00FE5FF4"/>
    <w:rsid w:val="00FE7493"/>
    <w:rsid w:val="00FF1E8E"/>
    <w:rsid w:val="00FF38F6"/>
    <w:rsid w:val="00FF3D08"/>
    <w:rsid w:val="00FF4721"/>
    <w:rsid w:val="00FF76B9"/>
    <w:rsid w:val="00FF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ecimalSymbol w:val=","/>
  <w:listSeparator w:val=";"/>
  <w15:docId w15:val="{78F09CF1-F9EA-482F-B5D9-B6B021CC1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73D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i/>
    </w:rPr>
  </w:style>
  <w:style w:type="paragraph" w:styleId="Ttulo1">
    <w:name w:val="heading 1"/>
    <w:basedOn w:val="Normal"/>
    <w:next w:val="Normal"/>
    <w:qFormat/>
    <w:rsid w:val="00DA328F"/>
    <w:pPr>
      <w:keepNext/>
      <w:ind w:firstLine="708"/>
      <w:jc w:val="both"/>
      <w:outlineLvl w:val="0"/>
    </w:pPr>
  </w:style>
  <w:style w:type="paragraph" w:styleId="Ttulo2">
    <w:name w:val="heading 2"/>
    <w:aliases w:val="1.1 Título 2"/>
    <w:basedOn w:val="Normal"/>
    <w:next w:val="Normal"/>
    <w:qFormat/>
    <w:rsid w:val="00DA328F"/>
    <w:pPr>
      <w:keepNext/>
      <w:spacing w:before="240" w:after="60"/>
      <w:outlineLvl w:val="1"/>
    </w:pPr>
    <w:rPr>
      <w:b/>
      <w:i w:val="0"/>
    </w:rPr>
  </w:style>
  <w:style w:type="paragraph" w:styleId="Ttulo3">
    <w:name w:val="heading 3"/>
    <w:aliases w:val="título 3"/>
    <w:basedOn w:val="Normal"/>
    <w:next w:val="Normal"/>
    <w:qFormat/>
    <w:rsid w:val="00DA328F"/>
    <w:pPr>
      <w:keepNext/>
      <w:numPr>
        <w:ilvl w:val="2"/>
        <w:numId w:val="1"/>
      </w:numPr>
      <w:tabs>
        <w:tab w:val="left" w:pos="0"/>
      </w:tabs>
      <w:spacing w:before="240" w:after="60"/>
      <w:outlineLvl w:val="2"/>
    </w:pPr>
    <w:rPr>
      <w:b/>
      <w:i w:val="0"/>
      <w:sz w:val="24"/>
    </w:rPr>
  </w:style>
  <w:style w:type="paragraph" w:styleId="Ttulo4">
    <w:name w:val="heading 4"/>
    <w:basedOn w:val="Normal"/>
    <w:next w:val="Normal"/>
    <w:qFormat/>
    <w:rsid w:val="00DA328F"/>
    <w:pPr>
      <w:keepNext/>
      <w:tabs>
        <w:tab w:val="left" w:pos="0"/>
      </w:tabs>
      <w:spacing w:before="240" w:after="60"/>
      <w:outlineLvl w:val="3"/>
    </w:pPr>
    <w:rPr>
      <w:b/>
      <w:sz w:val="24"/>
    </w:rPr>
  </w:style>
  <w:style w:type="paragraph" w:styleId="Ttulo5">
    <w:name w:val="heading 5"/>
    <w:basedOn w:val="Normal"/>
    <w:next w:val="Normal"/>
    <w:qFormat/>
    <w:rsid w:val="00DA328F"/>
    <w:pPr>
      <w:numPr>
        <w:ilvl w:val="4"/>
        <w:numId w:val="1"/>
      </w:numPr>
      <w:tabs>
        <w:tab w:val="left" w:pos="0"/>
      </w:tabs>
      <w:spacing w:before="240" w:after="60"/>
      <w:outlineLvl w:val="4"/>
    </w:pPr>
    <w:rPr>
      <w:i w:val="0"/>
      <w:sz w:val="22"/>
    </w:rPr>
  </w:style>
  <w:style w:type="paragraph" w:styleId="Ttulo6">
    <w:name w:val="heading 6"/>
    <w:basedOn w:val="Normal"/>
    <w:next w:val="Normal"/>
    <w:qFormat/>
    <w:rsid w:val="00DA328F"/>
    <w:pPr>
      <w:numPr>
        <w:ilvl w:val="5"/>
        <w:numId w:val="1"/>
      </w:numPr>
      <w:tabs>
        <w:tab w:val="left" w:pos="0"/>
      </w:tabs>
      <w:spacing w:before="240" w:after="60"/>
      <w:outlineLvl w:val="5"/>
    </w:pPr>
    <w:rPr>
      <w:sz w:val="22"/>
    </w:rPr>
  </w:style>
  <w:style w:type="paragraph" w:styleId="Ttulo7">
    <w:name w:val="heading 7"/>
    <w:basedOn w:val="Normal"/>
    <w:next w:val="Normal"/>
    <w:qFormat/>
    <w:rsid w:val="00DA328F"/>
    <w:pPr>
      <w:numPr>
        <w:ilvl w:val="6"/>
        <w:numId w:val="1"/>
      </w:numPr>
      <w:tabs>
        <w:tab w:val="left" w:pos="0"/>
      </w:tabs>
      <w:spacing w:before="240" w:after="60"/>
      <w:outlineLvl w:val="6"/>
    </w:pPr>
    <w:rPr>
      <w:i w:val="0"/>
    </w:rPr>
  </w:style>
  <w:style w:type="paragraph" w:styleId="Ttulo8">
    <w:name w:val="heading 8"/>
    <w:basedOn w:val="Normal"/>
    <w:next w:val="Normal"/>
    <w:qFormat/>
    <w:rsid w:val="00DA328F"/>
    <w:pPr>
      <w:numPr>
        <w:ilvl w:val="7"/>
        <w:numId w:val="1"/>
      </w:numPr>
      <w:tabs>
        <w:tab w:val="left" w:pos="0"/>
      </w:tabs>
      <w:spacing w:before="240" w:after="60"/>
      <w:outlineLvl w:val="7"/>
    </w:pPr>
  </w:style>
  <w:style w:type="paragraph" w:styleId="Ttulo9">
    <w:name w:val="heading 9"/>
    <w:basedOn w:val="Normal"/>
    <w:next w:val="Normal"/>
    <w:qFormat/>
    <w:rsid w:val="00DA328F"/>
    <w:pPr>
      <w:numPr>
        <w:ilvl w:val="8"/>
        <w:numId w:val="1"/>
      </w:numPr>
      <w:tabs>
        <w:tab w:val="left" w:pos="0"/>
      </w:tabs>
      <w:spacing w:before="240" w:after="60"/>
      <w:outlineLvl w:val="8"/>
    </w:pPr>
    <w:rPr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DA328F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DA328F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DA328F"/>
  </w:style>
  <w:style w:type="paragraph" w:styleId="Corpodetexto">
    <w:name w:val="Body Text"/>
    <w:basedOn w:val="Normal"/>
    <w:link w:val="CorpodetextoChar"/>
    <w:rsid w:val="00DA328F"/>
    <w:pPr>
      <w:spacing w:before="120"/>
      <w:jc w:val="both"/>
    </w:pPr>
    <w:rPr>
      <w:i w:val="0"/>
    </w:rPr>
  </w:style>
  <w:style w:type="paragraph" w:customStyle="1" w:styleId="MapadoDocumento1">
    <w:name w:val="Mapa do Documento1"/>
    <w:basedOn w:val="Normal"/>
    <w:rsid w:val="00DA328F"/>
    <w:pPr>
      <w:shd w:val="clear" w:color="auto" w:fill="000080"/>
    </w:pPr>
    <w:rPr>
      <w:rFonts w:ascii="Tahoma" w:hAnsi="Tahoma"/>
    </w:rPr>
  </w:style>
  <w:style w:type="paragraph" w:customStyle="1" w:styleId="Recuodecorpodetexto21">
    <w:name w:val="Recuo de corpo de texto 21"/>
    <w:basedOn w:val="Normal"/>
    <w:rsid w:val="00DA328F"/>
    <w:pPr>
      <w:ind w:left="993"/>
      <w:jc w:val="both"/>
    </w:pPr>
    <w:rPr>
      <w:i w:val="0"/>
    </w:rPr>
  </w:style>
  <w:style w:type="paragraph" w:customStyle="1" w:styleId="Recuodecorpodetexto31">
    <w:name w:val="Recuo de corpo de texto 31"/>
    <w:basedOn w:val="Normal"/>
    <w:rsid w:val="00DA328F"/>
    <w:pPr>
      <w:spacing w:before="120"/>
      <w:ind w:left="992"/>
      <w:jc w:val="both"/>
    </w:pPr>
    <w:rPr>
      <w:i w:val="0"/>
    </w:rPr>
  </w:style>
  <w:style w:type="paragraph" w:customStyle="1" w:styleId="Corpodetexto21">
    <w:name w:val="Corpo de texto 21"/>
    <w:basedOn w:val="Normal"/>
    <w:rsid w:val="00DA328F"/>
    <w:pPr>
      <w:tabs>
        <w:tab w:val="left" w:pos="1134"/>
      </w:tabs>
      <w:ind w:left="1134"/>
      <w:jc w:val="both"/>
    </w:pPr>
  </w:style>
  <w:style w:type="paragraph" w:customStyle="1" w:styleId="BodyText22">
    <w:name w:val="Body Text 22"/>
    <w:basedOn w:val="Normal"/>
    <w:rsid w:val="00DA328F"/>
    <w:rPr>
      <w:sz w:val="16"/>
    </w:rPr>
  </w:style>
  <w:style w:type="paragraph" w:customStyle="1" w:styleId="BodyText21">
    <w:name w:val="Body Text 21"/>
    <w:basedOn w:val="Normal"/>
    <w:rsid w:val="00DA328F"/>
    <w:pPr>
      <w:tabs>
        <w:tab w:val="left" w:pos="300"/>
        <w:tab w:val="left" w:pos="2121"/>
      </w:tabs>
      <w:ind w:left="709" w:hanging="709"/>
      <w:jc w:val="both"/>
    </w:pPr>
    <w:rPr>
      <w:i w:val="0"/>
      <w:sz w:val="24"/>
    </w:rPr>
  </w:style>
  <w:style w:type="paragraph" w:customStyle="1" w:styleId="cfs">
    <w:name w:val="cfs"/>
    <w:basedOn w:val="Normal"/>
    <w:rsid w:val="00DA328F"/>
    <w:pPr>
      <w:tabs>
        <w:tab w:val="left" w:pos="709"/>
        <w:tab w:val="left" w:pos="6804"/>
      </w:tabs>
      <w:jc w:val="both"/>
    </w:pPr>
    <w:rPr>
      <w:rFonts w:ascii="Times New Roman" w:hAnsi="Times New Roman"/>
      <w:i w:val="0"/>
      <w:sz w:val="24"/>
    </w:rPr>
  </w:style>
  <w:style w:type="paragraph" w:customStyle="1" w:styleId="Corpodetexto31">
    <w:name w:val="Corpo de texto 31"/>
    <w:basedOn w:val="Normal"/>
    <w:rsid w:val="00DA328F"/>
    <w:pPr>
      <w:shd w:val="pct20" w:color="000000" w:fill="FFFFFF"/>
      <w:jc w:val="both"/>
    </w:pPr>
    <w:rPr>
      <w:b/>
      <w:sz w:val="24"/>
    </w:rPr>
  </w:style>
  <w:style w:type="paragraph" w:styleId="Recuodecorpodetexto">
    <w:name w:val="Body Text Indent"/>
    <w:basedOn w:val="Normal"/>
    <w:link w:val="RecuodecorpodetextoChar"/>
    <w:uiPriority w:val="99"/>
    <w:rsid w:val="00DA328F"/>
    <w:pP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overflowPunct/>
      <w:autoSpaceDE/>
      <w:autoSpaceDN/>
      <w:adjustRightInd/>
      <w:ind w:left="284" w:firstLine="850"/>
      <w:jc w:val="both"/>
      <w:textAlignment w:val="auto"/>
    </w:pPr>
    <w:rPr>
      <w:rFonts w:ascii="Times New Roman" w:hAnsi="Times New Roman"/>
      <w:i w:val="0"/>
      <w:sz w:val="24"/>
    </w:rPr>
  </w:style>
  <w:style w:type="paragraph" w:styleId="Recuodecorpodetexto2">
    <w:name w:val="Body Text Indent 2"/>
    <w:basedOn w:val="Normal"/>
    <w:rsid w:val="00DA328F"/>
    <w:pPr>
      <w:tabs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overflowPunct/>
      <w:autoSpaceDE/>
      <w:autoSpaceDN/>
      <w:adjustRightInd/>
      <w:ind w:left="426"/>
      <w:jc w:val="both"/>
      <w:textAlignment w:val="auto"/>
    </w:pPr>
    <w:rPr>
      <w:rFonts w:ascii="Times New Roman" w:hAnsi="Times New Roman"/>
      <w:i w:val="0"/>
      <w:sz w:val="24"/>
    </w:rPr>
  </w:style>
  <w:style w:type="paragraph" w:styleId="Recuodecorpodetexto3">
    <w:name w:val="Body Text Indent 3"/>
    <w:basedOn w:val="Normal"/>
    <w:rsid w:val="00DA328F"/>
    <w:pPr>
      <w:tabs>
        <w:tab w:val="left" w:pos="432"/>
        <w:tab w:val="left" w:pos="567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overflowPunct/>
      <w:autoSpaceDE/>
      <w:autoSpaceDN/>
      <w:adjustRightInd/>
      <w:ind w:left="709" w:hanging="425"/>
      <w:jc w:val="both"/>
      <w:textAlignment w:val="auto"/>
    </w:pPr>
    <w:rPr>
      <w:rFonts w:ascii="Times New Roman" w:hAnsi="Times New Roman"/>
      <w:i w:val="0"/>
      <w:sz w:val="24"/>
    </w:rPr>
  </w:style>
  <w:style w:type="paragraph" w:styleId="Corpodetexto2">
    <w:name w:val="Body Text 2"/>
    <w:basedOn w:val="Normal"/>
    <w:rsid w:val="00DA32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i w:val="0"/>
      <w:sz w:val="40"/>
    </w:rPr>
  </w:style>
  <w:style w:type="paragraph" w:styleId="Corpodetexto3">
    <w:name w:val="Body Text 3"/>
    <w:basedOn w:val="Normal"/>
    <w:rsid w:val="00DA328F"/>
    <w:pPr>
      <w:tabs>
        <w:tab w:val="left" w:pos="0"/>
      </w:tabs>
    </w:pPr>
    <w:rPr>
      <w:b/>
    </w:rPr>
  </w:style>
  <w:style w:type="paragraph" w:customStyle="1" w:styleId="Numerado">
    <w:name w:val="Numerado"/>
    <w:rsid w:val="00DA328F"/>
    <w:pPr>
      <w:tabs>
        <w:tab w:val="num" w:pos="1134"/>
        <w:tab w:val="left" w:pos="1418"/>
      </w:tabs>
      <w:ind w:left="1134" w:hanging="1134"/>
      <w:jc w:val="both"/>
    </w:pPr>
    <w:rPr>
      <w:noProof/>
      <w:sz w:val="24"/>
    </w:rPr>
  </w:style>
  <w:style w:type="paragraph" w:customStyle="1" w:styleId="nivel2">
    <w:name w:val="nivel2"/>
    <w:basedOn w:val="Normal"/>
    <w:rsid w:val="00DA328F"/>
    <w:pPr>
      <w:overflowPunct/>
      <w:autoSpaceDE/>
      <w:autoSpaceDN/>
      <w:adjustRightInd/>
      <w:spacing w:before="60"/>
      <w:ind w:left="851"/>
      <w:jc w:val="both"/>
      <w:textAlignment w:val="auto"/>
    </w:pPr>
    <w:rPr>
      <w:rFonts w:ascii="Comic Sans MS" w:hAnsi="Comic Sans MS"/>
      <w:i w:val="0"/>
    </w:rPr>
  </w:style>
  <w:style w:type="paragraph" w:customStyle="1" w:styleId="deobs">
    <w:name w:val="deobs"/>
    <w:basedOn w:val="Normal"/>
    <w:rsid w:val="00DA328F"/>
    <w:pPr>
      <w:overflowPunct/>
      <w:autoSpaceDE/>
      <w:autoSpaceDN/>
      <w:adjustRightInd/>
      <w:ind w:right="-1"/>
      <w:jc w:val="both"/>
      <w:textAlignment w:val="auto"/>
    </w:pPr>
    <w:rPr>
      <w:rFonts w:ascii="Helv" w:hAnsi="Helv"/>
      <w:b/>
      <w:i w:val="0"/>
      <w:sz w:val="24"/>
    </w:rPr>
  </w:style>
  <w:style w:type="paragraph" w:customStyle="1" w:styleId="nivel1">
    <w:name w:val="nivel1"/>
    <w:basedOn w:val="Normal"/>
    <w:rsid w:val="00DA328F"/>
    <w:pPr>
      <w:overflowPunct/>
      <w:autoSpaceDE/>
      <w:autoSpaceDN/>
      <w:adjustRightInd/>
      <w:spacing w:before="60"/>
      <w:ind w:left="284"/>
      <w:jc w:val="both"/>
      <w:textAlignment w:val="auto"/>
    </w:pPr>
    <w:rPr>
      <w:rFonts w:ascii="Comic Sans MS" w:hAnsi="Comic Sans MS"/>
      <w:i w:val="0"/>
    </w:rPr>
  </w:style>
  <w:style w:type="paragraph" w:styleId="Textoembloco">
    <w:name w:val="Block Text"/>
    <w:basedOn w:val="Normal"/>
    <w:rsid w:val="00DA328F"/>
    <w:pPr>
      <w:tabs>
        <w:tab w:val="left" w:leader="dot" w:pos="6804"/>
        <w:tab w:val="right" w:pos="8505"/>
        <w:tab w:val="right" w:leader="underscore" w:pos="9072"/>
      </w:tabs>
      <w:overflowPunct/>
      <w:autoSpaceDE/>
      <w:autoSpaceDN/>
      <w:adjustRightInd/>
      <w:ind w:left="426" w:right="-1" w:hanging="426"/>
      <w:jc w:val="both"/>
      <w:textAlignment w:val="auto"/>
    </w:pPr>
    <w:rPr>
      <w:i w:val="0"/>
    </w:rPr>
  </w:style>
  <w:style w:type="paragraph" w:customStyle="1" w:styleId="Estilo1">
    <w:name w:val="Estilo1"/>
    <w:basedOn w:val="Normal"/>
    <w:rsid w:val="00DA328F"/>
    <w:pPr>
      <w:widowControl w:val="0"/>
      <w:tabs>
        <w:tab w:val="left" w:pos="1418"/>
      </w:tabs>
      <w:overflowPunct/>
      <w:autoSpaceDE/>
      <w:autoSpaceDN/>
      <w:adjustRightInd/>
      <w:spacing w:before="120" w:after="120"/>
      <w:ind w:left="1418" w:hanging="1418"/>
      <w:jc w:val="both"/>
      <w:textAlignment w:val="auto"/>
    </w:pPr>
    <w:rPr>
      <w:i w:val="0"/>
      <w:snapToGrid w:val="0"/>
    </w:rPr>
  </w:style>
  <w:style w:type="paragraph" w:customStyle="1" w:styleId="Preformatted">
    <w:name w:val="Preformatted"/>
    <w:basedOn w:val="Normal"/>
    <w:rsid w:val="00DA328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/>
      <w:autoSpaceDE/>
      <w:autoSpaceDN/>
      <w:adjustRightInd/>
      <w:textAlignment w:val="auto"/>
    </w:pPr>
    <w:rPr>
      <w:rFonts w:ascii="Courier New" w:hAnsi="Courier New"/>
      <w:i w:val="0"/>
      <w:snapToGrid w:val="0"/>
    </w:rPr>
  </w:style>
  <w:style w:type="paragraph" w:styleId="TextosemFormatao">
    <w:name w:val="Plain Text"/>
    <w:basedOn w:val="Normal"/>
    <w:rsid w:val="00DA328F"/>
    <w:pPr>
      <w:overflowPunct/>
      <w:autoSpaceDE/>
      <w:autoSpaceDN/>
      <w:adjustRightInd/>
      <w:textAlignment w:val="auto"/>
    </w:pPr>
    <w:rPr>
      <w:rFonts w:ascii="Courier New" w:hAnsi="Courier New"/>
      <w:i w:val="0"/>
    </w:rPr>
  </w:style>
  <w:style w:type="paragraph" w:customStyle="1" w:styleId="Padro">
    <w:name w:val="Padrão"/>
    <w:rsid w:val="00DA328F"/>
    <w:pPr>
      <w:widowControl w:val="0"/>
      <w:autoSpaceDE w:val="0"/>
      <w:autoSpaceDN w:val="0"/>
      <w:adjustRightInd w:val="0"/>
    </w:pPr>
    <w:rPr>
      <w:rFonts w:eastAsia="SimSun"/>
      <w:sz w:val="24"/>
    </w:rPr>
  </w:style>
  <w:style w:type="paragraph" w:styleId="PargrafodaLista">
    <w:name w:val="List Paragraph"/>
    <w:basedOn w:val="Normal"/>
    <w:uiPriority w:val="34"/>
    <w:qFormat/>
    <w:rsid w:val="00663992"/>
    <w:pPr>
      <w:ind w:left="708"/>
    </w:pPr>
  </w:style>
  <w:style w:type="paragraph" w:styleId="SemEspaamento">
    <w:name w:val="No Spacing"/>
    <w:uiPriority w:val="1"/>
    <w:qFormat/>
    <w:rsid w:val="000674CC"/>
    <w:rPr>
      <w:rFonts w:ascii="Calibri" w:eastAsia="Calibri" w:hAnsi="Calibri"/>
      <w:sz w:val="22"/>
      <w:szCs w:val="22"/>
      <w:lang w:eastAsia="en-US"/>
    </w:rPr>
  </w:style>
  <w:style w:type="character" w:customStyle="1" w:styleId="Ttulo1Char">
    <w:name w:val="Título 1 Char"/>
    <w:basedOn w:val="Fontepargpadro"/>
    <w:rsid w:val="00F72592"/>
    <w:rPr>
      <w:rFonts w:ascii="Arial" w:hAnsi="Arial" w:cs="Arial"/>
      <w:b/>
      <w:bCs/>
      <w:caps/>
      <w:kern w:val="32"/>
      <w:sz w:val="24"/>
      <w:szCs w:val="24"/>
      <w:lang w:val="pt-BR" w:eastAsia="pt-BR" w:bidi="ar-SA"/>
    </w:rPr>
  </w:style>
  <w:style w:type="paragraph" w:styleId="Textodebalo">
    <w:name w:val="Balloon Text"/>
    <w:basedOn w:val="Normal"/>
    <w:link w:val="TextodebaloChar"/>
    <w:rsid w:val="00F72592"/>
    <w:pPr>
      <w:keepNext/>
      <w:overflowPunct/>
      <w:autoSpaceDE/>
      <w:autoSpaceDN/>
      <w:adjustRightInd/>
      <w:textAlignment w:val="auto"/>
    </w:pPr>
    <w:rPr>
      <w:rFonts w:ascii="Tahoma" w:hAnsi="Tahoma" w:cs="Tahoma"/>
      <w:i w:val="0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72592"/>
    <w:rPr>
      <w:rFonts w:ascii="Tahoma" w:hAnsi="Tahoma" w:cs="Tahoma"/>
      <w:sz w:val="16"/>
      <w:szCs w:val="16"/>
    </w:rPr>
  </w:style>
  <w:style w:type="paragraph" w:styleId="Sumrio3">
    <w:name w:val="toc 3"/>
    <w:basedOn w:val="Normal"/>
    <w:next w:val="Normal"/>
    <w:autoRedefine/>
    <w:rsid w:val="00F72592"/>
    <w:pPr>
      <w:overflowPunct/>
      <w:autoSpaceDE/>
      <w:autoSpaceDN/>
      <w:adjustRightInd/>
      <w:ind w:left="480"/>
      <w:textAlignment w:val="auto"/>
    </w:pPr>
    <w:rPr>
      <w:rFonts w:ascii="Times New Roman" w:hAnsi="Times New Roman"/>
      <w:i w:val="0"/>
      <w:sz w:val="24"/>
      <w:szCs w:val="24"/>
    </w:rPr>
  </w:style>
  <w:style w:type="paragraph" w:styleId="Remissivo4">
    <w:name w:val="index 4"/>
    <w:basedOn w:val="Normal"/>
    <w:next w:val="Normal"/>
    <w:autoRedefine/>
    <w:rsid w:val="00F72592"/>
    <w:pPr>
      <w:overflowPunct/>
      <w:autoSpaceDE/>
      <w:autoSpaceDN/>
      <w:adjustRightInd/>
      <w:ind w:left="960" w:hanging="240"/>
      <w:textAlignment w:val="auto"/>
    </w:pPr>
    <w:rPr>
      <w:rFonts w:ascii="Times New Roman" w:hAnsi="Times New Roman"/>
      <w:i w:val="0"/>
      <w:sz w:val="24"/>
      <w:szCs w:val="24"/>
    </w:rPr>
  </w:style>
  <w:style w:type="character" w:styleId="Refdecomentrio">
    <w:name w:val="annotation reference"/>
    <w:basedOn w:val="Fontepargpadro"/>
    <w:rsid w:val="00F72592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F72592"/>
    <w:pPr>
      <w:keepNext/>
      <w:overflowPunct/>
      <w:autoSpaceDE/>
      <w:autoSpaceDN/>
      <w:adjustRightInd/>
      <w:textAlignment w:val="auto"/>
    </w:pPr>
    <w:rPr>
      <w:rFonts w:ascii="Times New Roman" w:hAnsi="Times New Roman"/>
      <w:i w:val="0"/>
    </w:rPr>
  </w:style>
  <w:style w:type="character" w:customStyle="1" w:styleId="TextodecomentrioChar">
    <w:name w:val="Texto de comentário Char"/>
    <w:basedOn w:val="Fontepargpadro"/>
    <w:link w:val="Textodecomentrio"/>
    <w:rsid w:val="00F72592"/>
  </w:style>
  <w:style w:type="paragraph" w:styleId="Assuntodocomentrio">
    <w:name w:val="annotation subject"/>
    <w:basedOn w:val="Textodecomentrio"/>
    <w:next w:val="Textodecomentrio"/>
    <w:link w:val="AssuntodocomentrioChar"/>
    <w:rsid w:val="00F7259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F72592"/>
    <w:rPr>
      <w:b/>
      <w:bCs/>
    </w:rPr>
  </w:style>
  <w:style w:type="paragraph" w:styleId="Legenda">
    <w:name w:val="caption"/>
    <w:basedOn w:val="Normal"/>
    <w:next w:val="Normal"/>
    <w:qFormat/>
    <w:rsid w:val="00F72592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i w:val="0"/>
      <w:sz w:val="28"/>
    </w:rPr>
  </w:style>
  <w:style w:type="paragraph" w:styleId="Sumrio1">
    <w:name w:val="toc 1"/>
    <w:basedOn w:val="Normal"/>
    <w:next w:val="Normal"/>
    <w:autoRedefine/>
    <w:rsid w:val="00F72592"/>
    <w:pPr>
      <w:tabs>
        <w:tab w:val="left" w:pos="720"/>
        <w:tab w:val="right" w:leader="dot" w:pos="9629"/>
      </w:tabs>
      <w:overflowPunct/>
      <w:autoSpaceDE/>
      <w:autoSpaceDN/>
      <w:adjustRightInd/>
      <w:jc w:val="both"/>
      <w:textAlignment w:val="auto"/>
    </w:pPr>
    <w:rPr>
      <w:rFonts w:ascii="Times New Roman" w:eastAsia="MS Mincho" w:hAnsi="Times New Roman"/>
      <w:b/>
      <w:bCs/>
      <w:i w:val="0"/>
      <w:caps/>
      <w:noProof/>
      <w:sz w:val="16"/>
      <w:szCs w:val="18"/>
    </w:rPr>
  </w:style>
  <w:style w:type="character" w:customStyle="1" w:styleId="CorpodetextoChar">
    <w:name w:val="Corpo de texto Char"/>
    <w:basedOn w:val="Fontepargpadro"/>
    <w:link w:val="Corpodetexto"/>
    <w:rsid w:val="00F72592"/>
    <w:rPr>
      <w:rFonts w:ascii="Arial" w:hAnsi="Arial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F72592"/>
    <w:rPr>
      <w:sz w:val="24"/>
    </w:rPr>
  </w:style>
  <w:style w:type="paragraph" w:customStyle="1" w:styleId="Recuodecorpodetexto211">
    <w:name w:val="Recuo de corpo de texto 211"/>
    <w:basedOn w:val="Normal"/>
    <w:rsid w:val="00F72592"/>
    <w:pPr>
      <w:tabs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uppressAutoHyphens/>
      <w:overflowPunct/>
      <w:autoSpaceDE/>
      <w:autoSpaceDN/>
      <w:adjustRightInd/>
      <w:ind w:left="426"/>
      <w:jc w:val="both"/>
      <w:textAlignment w:val="auto"/>
    </w:pPr>
    <w:rPr>
      <w:rFonts w:ascii="Times New Roman" w:hAnsi="Times New Roman"/>
      <w:i w:val="0"/>
      <w:sz w:val="24"/>
      <w:lang w:eastAsia="ar-SA"/>
    </w:rPr>
  </w:style>
  <w:style w:type="character" w:customStyle="1" w:styleId="CabealhoChar">
    <w:name w:val="Cabeçalho Char"/>
    <w:basedOn w:val="Fontepargpadro"/>
    <w:link w:val="Cabealho"/>
    <w:uiPriority w:val="99"/>
    <w:rsid w:val="00161420"/>
    <w:rPr>
      <w:rFonts w:ascii="Arial" w:hAnsi="Arial"/>
      <w:i/>
    </w:rPr>
  </w:style>
  <w:style w:type="table" w:styleId="Tabelacomgrade">
    <w:name w:val="Table Grid"/>
    <w:basedOn w:val="Tabelanormal"/>
    <w:rsid w:val="00CC49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F1FF0-37D0-4690-96C2-AF84CEDB4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9</Pages>
  <Words>1591</Words>
  <Characters>8594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DISCRIMINAÇÕES TÉCNICAS</vt:lpstr>
    </vt:vector>
  </TitlesOfParts>
  <Company>PARTICULAR</Company>
  <LinksUpToDate>false</LinksUpToDate>
  <CharactersWithSpaces>10165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DISCRIMINAÇÕES TÉCNICAS</dc:title>
  <dc:subject/>
  <dc:creator>MB ARQUITETURA</dc:creator>
  <cp:keywords/>
  <dc:description/>
  <cp:lastModifiedBy>Celso Garcia de Oliveira</cp:lastModifiedBy>
  <cp:revision>67</cp:revision>
  <cp:lastPrinted>2013-09-17T16:55:00Z</cp:lastPrinted>
  <dcterms:created xsi:type="dcterms:W3CDTF">2013-05-22T15:06:00Z</dcterms:created>
  <dcterms:modified xsi:type="dcterms:W3CDTF">2016-04-22T16:33:00Z</dcterms:modified>
</cp:coreProperties>
</file>